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A9623" w14:textId="44A3DDA2" w:rsidR="00311293" w:rsidRDefault="00311293" w:rsidP="00311293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before="240" w:after="240"/>
        <w:ind w:firstLine="720"/>
        <w:jc w:val="center"/>
        <w:rPr>
          <w:rFonts w:eastAsia="Times New Roman"/>
          <w:b/>
          <w:szCs w:val="24"/>
          <w:lang w:eastAsia="bg-BG"/>
        </w:rPr>
      </w:pPr>
      <w:r w:rsidRPr="00311293">
        <w:rPr>
          <w:rFonts w:eastAsia="Times New Roman"/>
          <w:b/>
          <w:szCs w:val="24"/>
          <w:lang w:eastAsia="bg-BG"/>
        </w:rPr>
        <w:t>ТЕХНИЧЕСК</w:t>
      </w:r>
      <w:r w:rsidR="00B9068D">
        <w:rPr>
          <w:rFonts w:eastAsia="Times New Roman"/>
          <w:b/>
          <w:szCs w:val="24"/>
          <w:lang w:eastAsia="bg-BG"/>
        </w:rPr>
        <w:t>А СПЕЦИФИКАЦИЯ</w:t>
      </w:r>
    </w:p>
    <w:p w14:paraId="04E52AD0" w14:textId="42DEC54E" w:rsidR="00B9068D" w:rsidRPr="005E1860" w:rsidRDefault="003637BA" w:rsidP="00311293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before="240" w:after="240"/>
        <w:ind w:firstLine="720"/>
        <w:jc w:val="center"/>
        <w:rPr>
          <w:rFonts w:eastAsia="Times New Roman"/>
          <w:b/>
          <w:szCs w:val="24"/>
          <w:lang w:val="en-US" w:eastAsia="bg-BG"/>
        </w:rPr>
      </w:pPr>
      <w:r>
        <w:rPr>
          <w:rFonts w:eastAsia="Times New Roman"/>
          <w:b/>
          <w:szCs w:val="24"/>
          <w:lang w:eastAsia="bg-BG"/>
        </w:rPr>
        <w:t xml:space="preserve">по </w:t>
      </w:r>
      <w:r w:rsidR="001E7B81">
        <w:rPr>
          <w:rFonts w:eastAsia="Times New Roman"/>
          <w:b/>
          <w:szCs w:val="24"/>
          <w:lang w:eastAsia="bg-BG"/>
        </w:rPr>
        <w:t>О</w:t>
      </w:r>
      <w:bookmarkStart w:id="0" w:name="_GoBack"/>
      <w:bookmarkEnd w:id="0"/>
      <w:r w:rsidR="00B9068D">
        <w:rPr>
          <w:rFonts w:eastAsia="Times New Roman"/>
          <w:b/>
          <w:szCs w:val="24"/>
          <w:lang w:eastAsia="bg-BG"/>
        </w:rPr>
        <w:t>бособена позиция №</w:t>
      </w:r>
      <w:r w:rsidR="007731B8">
        <w:rPr>
          <w:rFonts w:eastAsia="Times New Roman"/>
          <w:b/>
          <w:szCs w:val="24"/>
          <w:lang w:eastAsia="bg-BG"/>
        </w:rPr>
        <w:t xml:space="preserve"> </w:t>
      </w:r>
      <w:r w:rsidR="007731B8">
        <w:rPr>
          <w:rFonts w:eastAsia="Times New Roman"/>
          <w:b/>
          <w:szCs w:val="24"/>
          <w:lang w:val="en-US" w:eastAsia="bg-BG"/>
        </w:rPr>
        <w:t>1</w:t>
      </w:r>
    </w:p>
    <w:p w14:paraId="6F2E98CD" w14:textId="3E44766A" w:rsidR="00311293" w:rsidRPr="00AE4D3C" w:rsidRDefault="00DA6F12" w:rsidP="00920D45">
      <w:pPr>
        <w:spacing w:after="0" w:line="360" w:lineRule="auto"/>
        <w:ind w:left="720"/>
        <w:jc w:val="center"/>
        <w:rPr>
          <w:szCs w:val="24"/>
        </w:rPr>
      </w:pPr>
      <w:r w:rsidRPr="00DA6F12">
        <w:rPr>
          <w:szCs w:val="24"/>
        </w:rPr>
        <w:t>„Абонаментна поддръжка на печатащи, сканиращи и мултифункционални устройства, марка Xerox в сградите на БНБ“</w:t>
      </w:r>
    </w:p>
    <w:p w14:paraId="69A8D360" w14:textId="3AD9AC9F" w:rsidR="00A6627F" w:rsidRPr="00CF4158" w:rsidRDefault="00CF4158" w:rsidP="00CF4158">
      <w:pPr>
        <w:pStyle w:val="1"/>
        <w:rPr>
          <w:b/>
        </w:rPr>
      </w:pPr>
      <w:r>
        <w:rPr>
          <w:b/>
        </w:rPr>
        <w:t xml:space="preserve">Списък на </w:t>
      </w:r>
      <w:r w:rsidRPr="00CF4158">
        <w:rPr>
          <w:b/>
        </w:rPr>
        <w:t>устройства</w:t>
      </w:r>
      <w:r w:rsidR="00B9068D">
        <w:rPr>
          <w:b/>
        </w:rPr>
        <w:t>та</w:t>
      </w:r>
      <w:r w:rsidR="00FA2B3F">
        <w:rPr>
          <w:b/>
        </w:rPr>
        <w:t xml:space="preserve"> по модели</w:t>
      </w:r>
      <w:r w:rsidRPr="00CF4158">
        <w:rPr>
          <w:b/>
        </w:rPr>
        <w:t xml:space="preserve"> </w:t>
      </w:r>
      <w:r>
        <w:rPr>
          <w:b/>
        </w:rPr>
        <w:t>и приблизителните количества, подлежащи на поддръжка</w:t>
      </w:r>
      <w:r w:rsidR="00A6627F" w:rsidRPr="00CF4158">
        <w:rPr>
          <w:b/>
        </w:rPr>
        <w:t>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2"/>
        <w:gridCol w:w="2560"/>
      </w:tblGrid>
      <w:tr w:rsidR="008F2F6A" w:rsidRPr="008F2F6A" w14:paraId="1A667504" w14:textId="77777777" w:rsidTr="008F2F6A">
        <w:trPr>
          <w:trHeight w:val="277"/>
          <w:tblHeader/>
          <w:jc w:val="center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590BAF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8F2F6A">
              <w:rPr>
                <w:b/>
              </w:rPr>
              <w:t>Наименование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D21F2A4" w14:textId="281F06CD" w:rsidR="008F2F6A" w:rsidRPr="008F2F6A" w:rsidRDefault="001A61B7" w:rsidP="008F2F6A">
            <w:pPr>
              <w:pStyle w:val="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8F2F6A">
              <w:rPr>
                <w:b/>
              </w:rPr>
              <w:t>К</w:t>
            </w:r>
            <w:r w:rsidR="008F2F6A" w:rsidRPr="008F2F6A">
              <w:rPr>
                <w:b/>
              </w:rPr>
              <w:t>оличество</w:t>
            </w:r>
            <w:r>
              <w:rPr>
                <w:b/>
              </w:rPr>
              <w:t xml:space="preserve"> (бр.)</w:t>
            </w:r>
          </w:p>
        </w:tc>
      </w:tr>
      <w:tr w:rsidR="008F2F6A" w:rsidRPr="008F2F6A" w14:paraId="52F61C90" w14:textId="77777777" w:rsidTr="008F2F6A">
        <w:trPr>
          <w:trHeight w:val="302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A3E29B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Мултифункционално Xerox WorkCentre 3325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5395171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</w:t>
            </w:r>
          </w:p>
        </w:tc>
      </w:tr>
      <w:tr w:rsidR="008F2F6A" w:rsidRPr="008F2F6A" w14:paraId="0F408486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6B2A936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Мултифункционално Xerox WorkCentre 3550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1261D8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3</w:t>
            </w:r>
          </w:p>
        </w:tc>
      </w:tr>
      <w:tr w:rsidR="008F2F6A" w:rsidRPr="008F2F6A" w14:paraId="7FB5D74D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928AF1E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Мултифункционално Xerox WorkCentre 6015NI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8D2F2B4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3</w:t>
            </w:r>
          </w:p>
        </w:tc>
      </w:tr>
      <w:tr w:rsidR="008F2F6A" w:rsidRPr="008F2F6A" w14:paraId="07F3CC23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11A519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Мултифункционално Xerox WorkCentre 6505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F7A14D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2</w:t>
            </w:r>
          </w:p>
        </w:tc>
      </w:tr>
      <w:tr w:rsidR="008F2F6A" w:rsidRPr="008F2F6A" w14:paraId="02BCA7B4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EEB00EE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rPr>
                <w:lang w:val="en-US"/>
              </w:rPr>
            </w:pPr>
            <w:r w:rsidRPr="008F2F6A">
              <w:t>Мултифункционално Xerox WorkCentre 6515</w:t>
            </w:r>
            <w:r w:rsidRPr="008F2F6A">
              <w:rPr>
                <w:lang w:val="en-US"/>
              </w:rPr>
              <w:t>DN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8F765E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8F2F6A">
              <w:rPr>
                <w:lang w:val="en-US"/>
              </w:rPr>
              <w:t>5</w:t>
            </w:r>
          </w:p>
        </w:tc>
      </w:tr>
      <w:tr w:rsidR="008F2F6A" w:rsidRPr="008F2F6A" w14:paraId="72FDE8EE" w14:textId="77777777" w:rsidTr="008F2F6A">
        <w:trPr>
          <w:trHeight w:val="313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A56AC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3122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5BB364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7</w:t>
            </w:r>
          </w:p>
        </w:tc>
      </w:tr>
      <w:tr w:rsidR="008F2F6A" w:rsidRPr="008F2F6A" w14:paraId="3E2D3525" w14:textId="77777777" w:rsidTr="008F2F6A">
        <w:trPr>
          <w:trHeight w:val="302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DDD7FE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3052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6B3E38C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10</w:t>
            </w:r>
          </w:p>
        </w:tc>
      </w:tr>
      <w:tr w:rsidR="008F2F6A" w:rsidRPr="008F2F6A" w14:paraId="58024110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5CAAA0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rPr>
                <w:bCs/>
              </w:rPr>
              <w:t>П</w:t>
            </w:r>
            <w:r w:rsidRPr="008F2F6A">
              <w:t>ринтер Xerox Phaser 3130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0AA253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5</w:t>
            </w:r>
          </w:p>
        </w:tc>
      </w:tr>
      <w:tr w:rsidR="008F2F6A" w:rsidRPr="008F2F6A" w14:paraId="4C59EE3C" w14:textId="77777777" w:rsidTr="008F2F6A">
        <w:trPr>
          <w:trHeight w:val="302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86E6C4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3250D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4FD2E1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50</w:t>
            </w:r>
          </w:p>
        </w:tc>
      </w:tr>
      <w:tr w:rsidR="008F2F6A" w:rsidRPr="008F2F6A" w14:paraId="27B027FB" w14:textId="77777777" w:rsidTr="008F2F6A">
        <w:trPr>
          <w:trHeight w:val="313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154E3D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rPr>
                <w:bCs/>
              </w:rPr>
              <w:t>П</w:t>
            </w:r>
            <w:r w:rsidRPr="008F2F6A">
              <w:t>ринтер Xerox Phaser 3250DN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96736DB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</w:t>
            </w:r>
          </w:p>
        </w:tc>
      </w:tr>
      <w:tr w:rsidR="008F2F6A" w:rsidRPr="008F2F6A" w14:paraId="5E14A028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BFA9968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Мултифункционално Xerox VersaLink C405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DC00B9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10</w:t>
            </w:r>
          </w:p>
        </w:tc>
      </w:tr>
      <w:tr w:rsidR="008F2F6A" w:rsidRPr="008F2F6A" w14:paraId="43844E52" w14:textId="77777777" w:rsidTr="008F2F6A">
        <w:trPr>
          <w:trHeight w:val="306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510E66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Мултифункционално Xerox VersaLink C400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8A2402A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5</w:t>
            </w:r>
          </w:p>
        </w:tc>
      </w:tr>
      <w:tr w:rsidR="008F2F6A" w:rsidRPr="008F2F6A" w14:paraId="2BBA7F73" w14:textId="77777777" w:rsidTr="008F2F6A">
        <w:trPr>
          <w:trHeight w:val="313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BD6912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3330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74A3BF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8F2F6A">
              <w:rPr>
                <w:lang w:val="en-US"/>
              </w:rPr>
              <w:t>8</w:t>
            </w:r>
          </w:p>
        </w:tc>
      </w:tr>
      <w:tr w:rsidR="008F2F6A" w:rsidRPr="008F2F6A" w14:paraId="1F3E08BC" w14:textId="77777777" w:rsidTr="008F2F6A">
        <w:trPr>
          <w:trHeight w:val="299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CB826EF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3610DN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FBA7598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10</w:t>
            </w:r>
          </w:p>
        </w:tc>
      </w:tr>
      <w:tr w:rsidR="008F2F6A" w:rsidRPr="008F2F6A" w14:paraId="689AB95B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1D6D6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3320DN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FB8E9B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10</w:t>
            </w:r>
          </w:p>
        </w:tc>
      </w:tr>
      <w:tr w:rsidR="008F2F6A" w:rsidRPr="008F2F6A" w14:paraId="58F5D781" w14:textId="77777777" w:rsidTr="008F2F6A">
        <w:trPr>
          <w:trHeight w:val="302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C5CB3A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3600DN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9122A84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10</w:t>
            </w:r>
          </w:p>
        </w:tc>
      </w:tr>
      <w:tr w:rsidR="008F2F6A" w:rsidRPr="008F2F6A" w14:paraId="545EE54F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A5949A0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4500DT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6A7030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40</w:t>
            </w:r>
          </w:p>
        </w:tc>
      </w:tr>
      <w:tr w:rsidR="008F2F6A" w:rsidRPr="008F2F6A" w14:paraId="68171DBD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8FFBE9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4510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9C00F48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8F2F6A">
              <w:t>3</w:t>
            </w:r>
            <w:r w:rsidRPr="008F2F6A">
              <w:rPr>
                <w:lang w:val="en-US"/>
              </w:rPr>
              <w:t>0</w:t>
            </w:r>
          </w:p>
        </w:tc>
      </w:tr>
      <w:tr w:rsidR="008F2F6A" w:rsidRPr="008F2F6A" w14:paraId="799918D4" w14:textId="77777777" w:rsidTr="008F2F6A">
        <w:trPr>
          <w:trHeight w:val="306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9DCBAAB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lastRenderedPageBreak/>
              <w:t>Принтер Xerox Phaser 6010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3F21841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</w:t>
            </w:r>
          </w:p>
        </w:tc>
      </w:tr>
      <w:tr w:rsidR="008F2F6A" w:rsidRPr="008F2F6A" w14:paraId="048CE4ED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5A6518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6360DN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3E508BD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</w:t>
            </w:r>
          </w:p>
        </w:tc>
      </w:tr>
      <w:tr w:rsidR="008F2F6A" w:rsidRPr="008F2F6A" w14:paraId="747BC8F2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C3701CB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4622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54C8AF5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10</w:t>
            </w:r>
          </w:p>
        </w:tc>
      </w:tr>
      <w:tr w:rsidR="008F2F6A" w:rsidRPr="008F2F6A" w14:paraId="154BC582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D8D3FD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Принтер Xerox Phaser 6700DN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497649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3</w:t>
            </w:r>
          </w:p>
        </w:tc>
      </w:tr>
      <w:tr w:rsidR="008F2F6A" w:rsidRPr="008F2F6A" w14:paraId="72F94445" w14:textId="77777777" w:rsidTr="008F2F6A">
        <w:trPr>
          <w:trHeight w:val="310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6E4D0CA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rPr>
                <w:lang w:val="en-US"/>
              </w:rPr>
            </w:pPr>
            <w:r w:rsidRPr="008F2F6A">
              <w:t xml:space="preserve">Скенер Xerox </w:t>
            </w:r>
            <w:r w:rsidRPr="008F2F6A">
              <w:rPr>
                <w:lang w:val="en-US"/>
              </w:rPr>
              <w:t>DM3220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2A9093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8F2F6A">
              <w:rPr>
                <w:lang w:val="en-US"/>
              </w:rPr>
              <w:t>3</w:t>
            </w:r>
          </w:p>
        </w:tc>
      </w:tr>
      <w:tr w:rsidR="008F2F6A" w:rsidRPr="008F2F6A" w14:paraId="07553551" w14:textId="77777777" w:rsidTr="008F2F6A">
        <w:trPr>
          <w:trHeight w:val="324"/>
          <w:jc w:val="center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FBD0858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</w:pPr>
            <w:r w:rsidRPr="008F2F6A">
              <w:t>Скенер Xerox DM3125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F60CC7" w14:textId="77777777" w:rsidR="008F2F6A" w:rsidRPr="008F2F6A" w:rsidRDefault="008F2F6A" w:rsidP="008F2F6A">
            <w:pPr>
              <w:pStyle w:val="1"/>
              <w:numPr>
                <w:ilvl w:val="0"/>
                <w:numId w:val="0"/>
              </w:numPr>
              <w:jc w:val="center"/>
            </w:pPr>
            <w:r w:rsidRPr="008F2F6A">
              <w:t>25</w:t>
            </w:r>
          </w:p>
        </w:tc>
      </w:tr>
    </w:tbl>
    <w:p w14:paraId="4B38A19D" w14:textId="77777777" w:rsidR="00410709" w:rsidRPr="00410709" w:rsidRDefault="00410709" w:rsidP="00410709">
      <w:pPr>
        <w:pStyle w:val="1"/>
        <w:numPr>
          <w:ilvl w:val="0"/>
          <w:numId w:val="0"/>
        </w:numPr>
        <w:spacing w:line="360" w:lineRule="auto"/>
        <w:ind w:left="432"/>
        <w:rPr>
          <w:b/>
          <w:lang w:val="en-US"/>
        </w:rPr>
      </w:pPr>
    </w:p>
    <w:p w14:paraId="4954B958" w14:textId="77777777" w:rsidR="001A61B7" w:rsidRPr="001A61B7" w:rsidRDefault="001A61B7" w:rsidP="00C03FBC">
      <w:pPr>
        <w:pStyle w:val="1"/>
        <w:spacing w:line="360" w:lineRule="auto"/>
        <w:rPr>
          <w:b/>
          <w:lang w:val="en-US"/>
        </w:rPr>
      </w:pPr>
      <w:r>
        <w:rPr>
          <w:b/>
        </w:rPr>
        <w:t>Място на изпълнение</w:t>
      </w:r>
    </w:p>
    <w:p w14:paraId="042862B4" w14:textId="52573AC3" w:rsidR="00B51BDC" w:rsidRPr="001A61B7" w:rsidRDefault="00DA6F12" w:rsidP="001A61B7">
      <w:pPr>
        <w:pStyle w:val="1"/>
        <w:numPr>
          <w:ilvl w:val="0"/>
          <w:numId w:val="0"/>
        </w:numPr>
        <w:spacing w:line="360" w:lineRule="auto"/>
        <w:ind w:left="432"/>
        <w:rPr>
          <w:lang w:val="en-US"/>
        </w:rPr>
      </w:pPr>
      <w:r w:rsidRPr="001A61B7">
        <w:t xml:space="preserve">Абонаментната </w:t>
      </w:r>
      <w:r w:rsidR="00B51BDC" w:rsidRPr="001A61B7">
        <w:t xml:space="preserve">поддръжка с доставка на резервни части </w:t>
      </w:r>
      <w:r w:rsidR="007D0463" w:rsidRPr="001A61B7">
        <w:t>ще</w:t>
      </w:r>
      <w:r w:rsidR="00B51BDC" w:rsidRPr="001A61B7">
        <w:t xml:space="preserve"> се осъществява на следните адреси:  </w:t>
      </w:r>
    </w:p>
    <w:p w14:paraId="34C21EE0" w14:textId="65E8BAE5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Централна сграда</w:t>
      </w:r>
      <w:r w:rsidR="00C41A31">
        <w:rPr>
          <w:b/>
        </w:rPr>
        <w:t xml:space="preserve"> на БНБ</w:t>
      </w:r>
      <w:r>
        <w:br/>
        <w:t xml:space="preserve">пл. Княз Александър </w:t>
      </w:r>
      <w:r w:rsidRPr="009843B7">
        <w:rPr>
          <w:lang w:val="en-US"/>
        </w:rPr>
        <w:t xml:space="preserve">I </w:t>
      </w:r>
      <w:r>
        <w:t>№ 1</w:t>
      </w:r>
      <w:r>
        <w:br/>
        <w:t>гр. София, 1000</w:t>
      </w:r>
    </w:p>
    <w:p w14:paraId="39F93B54" w14:textId="7777777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Банков надзор</w:t>
      </w:r>
      <w:r>
        <w:br/>
        <w:t>ул. Московска № 7</w:t>
      </w:r>
      <w:r>
        <w:br/>
        <w:t>гр. София, 1000</w:t>
      </w:r>
    </w:p>
    <w:p w14:paraId="2965E0DB" w14:textId="7777777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Фискални услуги</w:t>
      </w:r>
      <w:r>
        <w:br/>
        <w:t>ул. Позитано № 7</w:t>
      </w:r>
      <w:r>
        <w:br/>
        <w:t>гр. София, 1000</w:t>
      </w:r>
    </w:p>
    <w:p w14:paraId="446FF525" w14:textId="7777777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Касов център</w:t>
      </w:r>
      <w:r>
        <w:t>,</w:t>
      </w:r>
      <w:r>
        <w:br/>
        <w:t>ул. Михаил Тенев № 10</w:t>
      </w:r>
      <w:r>
        <w:br/>
        <w:t>гр. София, 1784</w:t>
      </w:r>
    </w:p>
    <w:p w14:paraId="161C6024" w14:textId="7777777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ДКУ</w:t>
      </w:r>
      <w:r>
        <w:br/>
        <w:t>кв. Овча купел 2,</w:t>
      </w:r>
      <w:r>
        <w:br/>
        <w:t>ул. Иван Хаджийски № 16</w:t>
      </w:r>
      <w:r>
        <w:br/>
        <w:t>гр. София, 1632</w:t>
      </w:r>
    </w:p>
    <w:p w14:paraId="59A0F46E" w14:textId="4C8DB68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Бургас</w:t>
      </w:r>
      <w:r>
        <w:br/>
        <w:t xml:space="preserve">ул. Александър Велики </w:t>
      </w:r>
      <w:r w:rsidRPr="007C143D">
        <w:t>№ 8</w:t>
      </w:r>
      <w:r>
        <w:br/>
        <w:t>гр. Бургас, 8000</w:t>
      </w:r>
    </w:p>
    <w:p w14:paraId="0ECE1860" w14:textId="73A0283D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Варна</w:t>
      </w:r>
      <w:r>
        <w:br/>
      </w:r>
      <w:r w:rsidRPr="007C143D">
        <w:t>ул. Цариброд № 23</w:t>
      </w:r>
      <w:r>
        <w:br/>
        <w:t>гр. Варна, 9000</w:t>
      </w:r>
    </w:p>
    <w:p w14:paraId="1389CA62" w14:textId="6234AC23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lastRenderedPageBreak/>
        <w:t>Плевен</w:t>
      </w:r>
      <w:r>
        <w:br/>
      </w:r>
      <w:r w:rsidRPr="007C143D">
        <w:t>ул. Васил Левски № 153</w:t>
      </w:r>
      <w:r>
        <w:t>,</w:t>
      </w:r>
      <w:r>
        <w:br/>
        <w:t>гр. Плевен, 5800</w:t>
      </w:r>
    </w:p>
    <w:p w14:paraId="2825CB39" w14:textId="19BC9DD9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Пловдив</w:t>
      </w:r>
      <w:r>
        <w:br/>
      </w:r>
      <w:r w:rsidRPr="007C143D">
        <w:t>ул. Райко Даскалов № 51</w:t>
      </w:r>
      <w:r>
        <w:t>,</w:t>
      </w:r>
      <w:r>
        <w:br/>
        <w:t>гр. Пловдив, 4000</w:t>
      </w:r>
    </w:p>
    <w:p w14:paraId="4CF21755" w14:textId="74004D38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Приморско</w:t>
      </w:r>
      <w:r>
        <w:br/>
      </w:r>
      <w:r w:rsidRPr="00604643">
        <w:t>ул. Перла № 4</w:t>
      </w:r>
      <w:r>
        <w:br/>
        <w:t>гр. Приморско, 8180</w:t>
      </w:r>
    </w:p>
    <w:p w14:paraId="7E75F89C" w14:textId="0F78C8E4" w:rsidR="00B51BDC" w:rsidRDefault="00C41A31" w:rsidP="00C03FBC">
      <w:pPr>
        <w:pStyle w:val="1"/>
        <w:numPr>
          <w:ilvl w:val="0"/>
          <w:numId w:val="15"/>
        </w:numPr>
        <w:jc w:val="left"/>
      </w:pPr>
      <w:r>
        <w:rPr>
          <w:b/>
        </w:rPr>
        <w:t>Б</w:t>
      </w:r>
      <w:r w:rsidR="00B51BDC" w:rsidRPr="00BD285E">
        <w:rPr>
          <w:b/>
        </w:rPr>
        <w:t>аза Ралица, БНБ</w:t>
      </w:r>
      <w:r w:rsidR="00B51BDC">
        <w:br/>
        <w:t xml:space="preserve">к.к. Св.св. Константин и Елена, </w:t>
      </w:r>
      <w:r w:rsidR="00B51BDC">
        <w:br/>
        <w:t>гр. Варна, 9006</w:t>
      </w:r>
    </w:p>
    <w:p w14:paraId="0ECF659F" w14:textId="6A3DCCC3" w:rsidR="00B51BDC" w:rsidRPr="009843B7" w:rsidRDefault="00C41A31" w:rsidP="00C03FBC">
      <w:pPr>
        <w:pStyle w:val="1"/>
        <w:numPr>
          <w:ilvl w:val="0"/>
          <w:numId w:val="15"/>
        </w:numPr>
        <w:jc w:val="left"/>
      </w:pPr>
      <w:r>
        <w:rPr>
          <w:b/>
        </w:rPr>
        <w:t>Б</w:t>
      </w:r>
      <w:r w:rsidR="00B51BDC" w:rsidRPr="00BD285E">
        <w:rPr>
          <w:b/>
        </w:rPr>
        <w:t>аза Иглика, БНБ</w:t>
      </w:r>
      <w:r w:rsidR="00B51BDC">
        <w:br/>
        <w:t>Панорамен път,</w:t>
      </w:r>
      <w:r w:rsidR="00B51BDC">
        <w:br/>
        <w:t>гр. Смолян, 4700</w:t>
      </w:r>
    </w:p>
    <w:p w14:paraId="7A719A41" w14:textId="77777777" w:rsidR="00B51BDC" w:rsidRPr="00C03FBC" w:rsidRDefault="00B51BDC" w:rsidP="00C03FBC">
      <w:pPr>
        <w:pStyle w:val="1"/>
        <w:numPr>
          <w:ilvl w:val="0"/>
          <w:numId w:val="0"/>
        </w:numPr>
        <w:spacing w:line="360" w:lineRule="auto"/>
        <w:ind w:left="432"/>
        <w:rPr>
          <w:b/>
          <w:lang w:val="en-US"/>
        </w:rPr>
      </w:pPr>
    </w:p>
    <w:p w14:paraId="4FFB7507" w14:textId="12A76B96" w:rsidR="00A6627F" w:rsidRPr="00A6627F" w:rsidRDefault="001A61B7" w:rsidP="001A61B7">
      <w:pPr>
        <w:pStyle w:val="1"/>
        <w:numPr>
          <w:ilvl w:val="0"/>
          <w:numId w:val="0"/>
        </w:numPr>
        <w:spacing w:line="360" w:lineRule="auto"/>
        <w:ind w:left="432" w:firstLine="276"/>
        <w:rPr>
          <w:b/>
          <w:lang w:val="en-US"/>
        </w:rPr>
      </w:pPr>
      <w:r>
        <w:rPr>
          <w:b/>
        </w:rPr>
        <w:t xml:space="preserve">3. </w:t>
      </w:r>
      <w:r w:rsidR="00324A05">
        <w:rPr>
          <w:b/>
        </w:rPr>
        <w:t xml:space="preserve">Изисквания </w:t>
      </w:r>
      <w:r w:rsidR="00324A05" w:rsidRPr="00C12E43">
        <w:rPr>
          <w:b/>
        </w:rPr>
        <w:t xml:space="preserve">за </w:t>
      </w:r>
      <w:r>
        <w:rPr>
          <w:b/>
        </w:rPr>
        <w:t>изпълнение на поръчката</w:t>
      </w:r>
    </w:p>
    <w:p w14:paraId="7CC57BE9" w14:textId="5C462A30" w:rsidR="00096419" w:rsidRPr="00C12E43" w:rsidRDefault="00096419" w:rsidP="00DA6F12">
      <w:pPr>
        <w:pStyle w:val="2"/>
        <w:numPr>
          <w:ilvl w:val="0"/>
          <w:numId w:val="0"/>
        </w:numPr>
        <w:spacing w:line="360" w:lineRule="auto"/>
        <w:ind w:firstLine="709"/>
      </w:pPr>
      <w:r w:rsidRPr="00C12E43">
        <w:t xml:space="preserve">В техническото предложение </w:t>
      </w:r>
      <w:r w:rsidR="00B9068D">
        <w:t>участникът следва</w:t>
      </w:r>
      <w:r w:rsidRPr="00C12E43">
        <w:t xml:space="preserve"> да посочи следните елементи по отношение на работата си </w:t>
      </w:r>
      <w:r>
        <w:t>по</w:t>
      </w:r>
      <w:r w:rsidR="00B9068D">
        <w:t xml:space="preserve"> повреди</w:t>
      </w:r>
      <w:r>
        <w:t xml:space="preserve">, свързани с </w:t>
      </w:r>
      <w:r w:rsidRPr="00096419">
        <w:rPr>
          <w:szCs w:val="24"/>
        </w:rPr>
        <w:t xml:space="preserve">печатащи, сканиращи и мултифункционални устройства, марка </w:t>
      </w:r>
      <w:r w:rsidRPr="00096419">
        <w:rPr>
          <w:szCs w:val="24"/>
          <w:lang w:val="en-US"/>
        </w:rPr>
        <w:t>Xerox</w:t>
      </w:r>
      <w:r>
        <w:t>:</w:t>
      </w:r>
    </w:p>
    <w:p w14:paraId="1C6412E6" w14:textId="77777777" w:rsidR="00A56B41" w:rsidRPr="00C03FBC" w:rsidRDefault="00096419" w:rsidP="00DA6F12">
      <w:pPr>
        <w:pStyle w:val="2"/>
        <w:numPr>
          <w:ilvl w:val="0"/>
          <w:numId w:val="10"/>
        </w:numPr>
        <w:spacing w:line="360" w:lineRule="auto"/>
        <w:ind w:left="0" w:firstLine="786"/>
        <w:rPr>
          <w:b/>
        </w:rPr>
      </w:pPr>
      <w:r w:rsidRPr="00D55765">
        <w:rPr>
          <w:b/>
        </w:rPr>
        <w:t>Уведомяване</w:t>
      </w:r>
      <w:r w:rsidRPr="00D55765">
        <w:t xml:space="preserve"> – да бъде посочена </w:t>
      </w:r>
      <w:r w:rsidR="00B9068D">
        <w:t xml:space="preserve">информация за контакт, чрез която да бъдат изпращани уведомленията и заявките на възложителя; </w:t>
      </w:r>
    </w:p>
    <w:p w14:paraId="2A7839B6" w14:textId="4875C428" w:rsidR="00A56B41" w:rsidRPr="00C03FBC" w:rsidRDefault="00A56B41" w:rsidP="00FD0055">
      <w:pPr>
        <w:pStyle w:val="2"/>
        <w:numPr>
          <w:ilvl w:val="0"/>
          <w:numId w:val="0"/>
        </w:numPr>
        <w:spacing w:before="0" w:after="0" w:line="360" w:lineRule="auto"/>
        <w:ind w:left="786"/>
        <w:rPr>
          <w:b/>
        </w:rPr>
      </w:pPr>
      <w:r>
        <w:rPr>
          <w:rFonts w:eastAsia="Times New Roman"/>
          <w:szCs w:val="24"/>
        </w:rPr>
        <w:t>Участниците следва да поддържат</w:t>
      </w:r>
      <w:r>
        <w:rPr>
          <w:rFonts w:eastAsia="Times New Roman"/>
          <w:szCs w:val="20"/>
        </w:rPr>
        <w:t>,</w:t>
      </w:r>
      <w:r w:rsidR="00C41A3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чрез които да се осъществява регистрация:</w:t>
      </w:r>
    </w:p>
    <w:p w14:paraId="09DF25F9" w14:textId="1DB5095B" w:rsidR="00A56B41" w:rsidRPr="00C03FBC" w:rsidRDefault="00A56B41" w:rsidP="00FD0055">
      <w:pPr>
        <w:pStyle w:val="2"/>
        <w:numPr>
          <w:ilvl w:val="0"/>
          <w:numId w:val="16"/>
        </w:numPr>
        <w:spacing w:before="0" w:after="0" w:line="360" w:lineRule="auto"/>
        <w:ind w:left="0" w:firstLine="786"/>
        <w:rPr>
          <w:rFonts w:eastAsia="Times New Roman"/>
          <w:b/>
          <w:szCs w:val="24"/>
        </w:rPr>
      </w:pPr>
      <w:r>
        <w:rPr>
          <w:rFonts w:eastAsia="Times New Roman"/>
          <w:szCs w:val="20"/>
        </w:rPr>
        <w:t xml:space="preserve">на уведомленията и заявките на </w:t>
      </w:r>
      <w:r w:rsidRPr="00A622E1">
        <w:rPr>
          <w:rFonts w:eastAsia="Times New Roman"/>
          <w:szCs w:val="24"/>
        </w:rPr>
        <w:t xml:space="preserve"> </w:t>
      </w:r>
      <w:r w:rsidRPr="00C03FBC">
        <w:rPr>
          <w:rFonts w:eastAsia="Times New Roman"/>
          <w:szCs w:val="24"/>
        </w:rPr>
        <w:t>възложителя</w:t>
      </w:r>
      <w:r>
        <w:rPr>
          <w:rFonts w:eastAsia="Times New Roman"/>
          <w:b/>
          <w:szCs w:val="24"/>
        </w:rPr>
        <w:t xml:space="preserve">, </w:t>
      </w:r>
    </w:p>
    <w:p w14:paraId="4D0E84D3" w14:textId="769E80DE" w:rsidR="00A56B41" w:rsidRPr="00C03FBC" w:rsidRDefault="00A56B41" w:rsidP="00FD0055">
      <w:pPr>
        <w:pStyle w:val="2"/>
        <w:numPr>
          <w:ilvl w:val="0"/>
          <w:numId w:val="16"/>
        </w:numPr>
        <w:spacing w:before="0" w:after="0" w:line="360" w:lineRule="auto"/>
        <w:ind w:left="0" w:firstLine="786"/>
        <w:rPr>
          <w:rFonts w:eastAsia="Times New Roman"/>
          <w:b/>
          <w:szCs w:val="24"/>
        </w:rPr>
      </w:pPr>
      <w:r w:rsidRPr="00A56B41">
        <w:rPr>
          <w:rFonts w:eastAsia="Times New Roman"/>
          <w:szCs w:val="24"/>
        </w:rPr>
        <w:t>на</w:t>
      </w:r>
      <w:r>
        <w:rPr>
          <w:rFonts w:eastAsia="Times New Roman"/>
          <w:szCs w:val="24"/>
        </w:rPr>
        <w:t xml:space="preserve"> извършените услуги</w:t>
      </w:r>
      <w:r w:rsidRPr="00A56B41">
        <w:rPr>
          <w:rFonts w:eastAsia="Times New Roman"/>
          <w:b/>
          <w:szCs w:val="24"/>
        </w:rPr>
        <w:t xml:space="preserve"> </w:t>
      </w:r>
      <w:r w:rsidRPr="008C72BE">
        <w:rPr>
          <w:rFonts w:eastAsia="Times New Roman"/>
          <w:szCs w:val="24"/>
        </w:rPr>
        <w:t>с</w:t>
      </w:r>
      <w:r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szCs w:val="20"/>
        </w:rPr>
        <w:t>в</w:t>
      </w:r>
      <w:r w:rsidRPr="00A56B41">
        <w:rPr>
          <w:rFonts w:eastAsia="Times New Roman"/>
          <w:szCs w:val="20"/>
        </w:rPr>
        <w:t>ремето, необходимо за извършването на съответната услуга в часове</w:t>
      </w:r>
      <w:r w:rsidR="006B4424">
        <w:rPr>
          <w:rFonts w:eastAsia="Times New Roman"/>
          <w:szCs w:val="20"/>
          <w:lang w:val="en-US"/>
        </w:rPr>
        <w:t>;</w:t>
      </w:r>
      <w:r w:rsidRPr="00A56B41">
        <w:rPr>
          <w:rFonts w:eastAsia="Times New Roman"/>
          <w:szCs w:val="20"/>
        </w:rPr>
        <w:t xml:space="preserve"> </w:t>
      </w:r>
    </w:p>
    <w:p w14:paraId="3F2F88D7" w14:textId="02AFBC3C" w:rsidR="00096419" w:rsidRPr="00C03FBC" w:rsidRDefault="00A56B41" w:rsidP="00FD0055">
      <w:pPr>
        <w:pStyle w:val="2"/>
        <w:numPr>
          <w:ilvl w:val="0"/>
          <w:numId w:val="16"/>
        </w:numPr>
        <w:spacing w:before="0" w:after="0" w:line="360" w:lineRule="auto"/>
        <w:ind w:left="0" w:firstLine="786"/>
        <w:rPr>
          <w:rFonts w:eastAsia="Times New Roman"/>
          <w:b/>
          <w:szCs w:val="24"/>
        </w:rPr>
      </w:pPr>
      <w:r w:rsidRPr="00A56B41">
        <w:rPr>
          <w:rFonts w:eastAsia="Times New Roman"/>
          <w:szCs w:val="20"/>
        </w:rPr>
        <w:t>обективното състояние на устройството след извършване на услугата</w:t>
      </w:r>
      <w:r>
        <w:rPr>
          <w:rFonts w:eastAsia="Times New Roman"/>
          <w:szCs w:val="20"/>
        </w:rPr>
        <w:t>;</w:t>
      </w:r>
      <w:r w:rsidRPr="00A56B41">
        <w:rPr>
          <w:rFonts w:eastAsia="Times New Roman"/>
          <w:szCs w:val="20"/>
        </w:rPr>
        <w:t xml:space="preserve"> </w:t>
      </w:r>
    </w:p>
    <w:p w14:paraId="1DA168DD" w14:textId="7C8EB7AD" w:rsidR="00096419" w:rsidRDefault="00096419" w:rsidP="00DA6F12">
      <w:pPr>
        <w:pStyle w:val="2"/>
        <w:numPr>
          <w:ilvl w:val="0"/>
          <w:numId w:val="10"/>
        </w:numPr>
        <w:spacing w:line="360" w:lineRule="auto"/>
        <w:ind w:left="0" w:firstLine="786"/>
      </w:pPr>
      <w:r w:rsidRPr="00D55765">
        <w:rPr>
          <w:b/>
        </w:rPr>
        <w:t>Време за реакция</w:t>
      </w:r>
      <w:r w:rsidRPr="00C75B26">
        <w:t xml:space="preserve"> – да </w:t>
      </w:r>
      <w:r>
        <w:t>бъде определен времеви диапазон</w:t>
      </w:r>
      <w:r w:rsidR="00333949">
        <w:rPr>
          <w:lang w:val="en-US"/>
        </w:rPr>
        <w:t>,</w:t>
      </w:r>
      <w:r>
        <w:t xml:space="preserve"> в който </w:t>
      </w:r>
      <w:r w:rsidR="00B9068D">
        <w:t>изпълнителят</w:t>
      </w:r>
      <w:r>
        <w:t xml:space="preserve"> ще отговори на уведомлението и ще започне действия по случая</w:t>
      </w:r>
      <w:r w:rsidR="00B9068D">
        <w:t xml:space="preserve"> – не повече от</w:t>
      </w:r>
      <w:r w:rsidR="004E08C6">
        <w:t xml:space="preserve"> 3 часа.</w:t>
      </w:r>
      <w:r w:rsidR="00FD0055">
        <w:t xml:space="preserve"> </w:t>
      </w:r>
    </w:p>
    <w:p w14:paraId="0B910821" w14:textId="77777777" w:rsidR="00EA7D46" w:rsidRDefault="00096419" w:rsidP="00EA7D46">
      <w:pPr>
        <w:pStyle w:val="2"/>
        <w:numPr>
          <w:ilvl w:val="0"/>
          <w:numId w:val="10"/>
        </w:numPr>
        <w:spacing w:line="360" w:lineRule="auto"/>
        <w:ind w:left="0" w:firstLine="786"/>
      </w:pPr>
      <w:r>
        <w:rPr>
          <w:b/>
        </w:rPr>
        <w:t xml:space="preserve">Срок на решаване </w:t>
      </w:r>
      <w:r>
        <w:t>– работата по ед</w:t>
      </w:r>
      <w:r w:rsidR="00C1018D">
        <w:t xml:space="preserve">но уведомление </w:t>
      </w:r>
      <w:r>
        <w:t xml:space="preserve">се счита за приключена след възстановяване в нормален режим на работа </w:t>
      </w:r>
      <w:r w:rsidR="00B9068D">
        <w:t xml:space="preserve">на съответното устройство </w:t>
      </w:r>
      <w:r>
        <w:t xml:space="preserve">и документирането му. </w:t>
      </w:r>
    </w:p>
    <w:p w14:paraId="3ED29EF7" w14:textId="2A654EE9" w:rsidR="00FD0055" w:rsidRPr="00C75B26" w:rsidRDefault="00EA7D46" w:rsidP="00EA7D46">
      <w:pPr>
        <w:pStyle w:val="2"/>
        <w:numPr>
          <w:ilvl w:val="0"/>
          <w:numId w:val="0"/>
        </w:numPr>
        <w:spacing w:line="360" w:lineRule="auto"/>
        <w:ind w:firstLine="708"/>
      </w:pPr>
      <w:r>
        <w:lastRenderedPageBreak/>
        <w:t>У</w:t>
      </w:r>
      <w:r w:rsidR="00FD0055" w:rsidRPr="00FD0055">
        <w:t>частникът следва да предложи срок за отстраняване на повредата</w:t>
      </w:r>
      <w:r>
        <w:t xml:space="preserve">, </w:t>
      </w:r>
      <w:r w:rsidRPr="00395F93">
        <w:rPr>
          <w:rFonts w:eastAsia="Times New Roman"/>
          <w:szCs w:val="24"/>
        </w:rPr>
        <w:t>при необходимост от</w:t>
      </w:r>
      <w:r>
        <w:rPr>
          <w:rFonts w:eastAsia="Times New Roman"/>
          <w:szCs w:val="24"/>
        </w:rPr>
        <w:t xml:space="preserve"> извършване на ремонт, който </w:t>
      </w:r>
      <w:r w:rsidRPr="00395F93">
        <w:rPr>
          <w:rFonts w:eastAsia="Times New Roman"/>
          <w:szCs w:val="24"/>
        </w:rPr>
        <w:t>налага</w:t>
      </w:r>
      <w:r>
        <w:rPr>
          <w:rFonts w:eastAsia="Times New Roman"/>
          <w:szCs w:val="24"/>
        </w:rPr>
        <w:t>/не налага</w:t>
      </w:r>
      <w:r w:rsidRPr="00395F93">
        <w:rPr>
          <w:rFonts w:eastAsia="Times New Roman"/>
          <w:szCs w:val="24"/>
        </w:rPr>
        <w:t xml:space="preserve"> подмяна на резервни части</w:t>
      </w:r>
      <w:r>
        <w:rPr>
          <w:rFonts w:eastAsia="Times New Roman"/>
          <w:szCs w:val="24"/>
        </w:rPr>
        <w:t>, както и срок за доставка на резервни части, в зависимост от това дали същите са налични в склад в страната или в чужбина.</w:t>
      </w:r>
    </w:p>
    <w:p w14:paraId="26506801" w14:textId="7C1B7E26" w:rsidR="00C167BA" w:rsidRPr="00B9068D" w:rsidRDefault="00096419" w:rsidP="00DA6F12">
      <w:pPr>
        <w:pStyle w:val="2"/>
        <w:numPr>
          <w:ilvl w:val="0"/>
          <w:numId w:val="10"/>
        </w:numPr>
        <w:spacing w:line="360" w:lineRule="auto"/>
        <w:ind w:left="0" w:firstLine="786"/>
      </w:pPr>
      <w:r w:rsidRPr="00B9068D">
        <w:rPr>
          <w:b/>
        </w:rPr>
        <w:t>Документиране</w:t>
      </w:r>
      <w:r w:rsidRPr="00B9068D">
        <w:t xml:space="preserve"> –</w:t>
      </w:r>
      <w:r w:rsidR="007D0463">
        <w:t xml:space="preserve"> за извършване на услугите по </w:t>
      </w:r>
      <w:r w:rsidR="00DA6F12">
        <w:t xml:space="preserve">абонаментна </w:t>
      </w:r>
      <w:r w:rsidR="007D0463">
        <w:t xml:space="preserve">поддръжка на устройствата се съставя ежемесечен отчет. </w:t>
      </w:r>
      <w:r w:rsidR="007D0463" w:rsidRPr="00B9068D">
        <w:t>Месечният отчет</w:t>
      </w:r>
      <w:r w:rsidR="007D0463">
        <w:t xml:space="preserve"> </w:t>
      </w:r>
      <w:r w:rsidR="00B9068D" w:rsidRPr="00B9068D">
        <w:t>се съставя до</w:t>
      </w:r>
      <w:r w:rsidR="007D0463">
        <w:t xml:space="preserve"> </w:t>
      </w:r>
      <w:r w:rsidR="007D0463" w:rsidRPr="00B9068D">
        <w:t>5-то число на месеца</w:t>
      </w:r>
      <w:r w:rsidR="00B9068D" w:rsidRPr="00B9068D">
        <w:t xml:space="preserve">, следващ отчетния и съдържа </w:t>
      </w:r>
      <w:r w:rsidR="007D0463">
        <w:t xml:space="preserve">подробна </w:t>
      </w:r>
      <w:r w:rsidR="00B9068D" w:rsidRPr="00B9068D">
        <w:t xml:space="preserve">информация за извършените услуги по </w:t>
      </w:r>
      <w:r w:rsidR="00DA6F12">
        <w:t>абонаментна</w:t>
      </w:r>
      <w:r w:rsidR="00B9068D" w:rsidRPr="00B9068D">
        <w:t xml:space="preserve"> поддръжка през отчетния месец</w:t>
      </w:r>
      <w:r w:rsidR="007D0463">
        <w:t xml:space="preserve"> съобразно изискванията в проекта на договор по обособена позиция № </w:t>
      </w:r>
      <w:r w:rsidR="003637BA">
        <w:t>3</w:t>
      </w:r>
      <w:r w:rsidR="00B9068D" w:rsidRPr="00B9068D">
        <w:t>. В случай че през съответния месец има доставени и вложени резервни части</w:t>
      </w:r>
      <w:r w:rsidR="00B9068D" w:rsidRPr="00B9068D">
        <w:rPr>
          <w:rFonts w:eastAsia="Times New Roman"/>
          <w:szCs w:val="24"/>
        </w:rPr>
        <w:t xml:space="preserve"> към </w:t>
      </w:r>
      <w:r w:rsidR="002B44C7">
        <w:rPr>
          <w:rFonts w:eastAsia="Times New Roman"/>
          <w:szCs w:val="24"/>
        </w:rPr>
        <w:t>месечния отчет</w:t>
      </w:r>
      <w:r w:rsidR="007D0463">
        <w:rPr>
          <w:rFonts w:eastAsia="Times New Roman"/>
          <w:szCs w:val="24"/>
        </w:rPr>
        <w:t xml:space="preserve"> се прилага</w:t>
      </w:r>
      <w:r w:rsidR="00E145C6">
        <w:rPr>
          <w:rFonts w:eastAsia="Times New Roman"/>
          <w:szCs w:val="24"/>
        </w:rPr>
        <w:t xml:space="preserve"> и</w:t>
      </w:r>
      <w:r w:rsidR="007D0463">
        <w:rPr>
          <w:rFonts w:eastAsia="Times New Roman"/>
          <w:szCs w:val="24"/>
        </w:rPr>
        <w:t xml:space="preserve"> протокол</w:t>
      </w:r>
      <w:r w:rsidR="00B9068D" w:rsidRPr="00B9068D">
        <w:rPr>
          <w:rFonts w:eastAsia="Times New Roman"/>
          <w:szCs w:val="24"/>
        </w:rPr>
        <w:t xml:space="preserve"> за приемане на резервните части съгласно условията в договор</w:t>
      </w:r>
      <w:r w:rsidR="003637BA">
        <w:rPr>
          <w:rFonts w:eastAsia="Times New Roman"/>
          <w:szCs w:val="24"/>
        </w:rPr>
        <w:t>а</w:t>
      </w:r>
      <w:r w:rsidR="007D0463">
        <w:rPr>
          <w:rFonts w:eastAsia="Times New Roman"/>
          <w:szCs w:val="24"/>
        </w:rPr>
        <w:t xml:space="preserve"> по съответната обособена позиция.</w:t>
      </w:r>
    </w:p>
    <w:p w14:paraId="49396B23" w14:textId="77777777" w:rsidR="00D77D72" w:rsidRPr="00C167BA" w:rsidRDefault="000E224D" w:rsidP="00C03FBC">
      <w:pPr>
        <w:pStyle w:val="2"/>
        <w:numPr>
          <w:ilvl w:val="0"/>
          <w:numId w:val="10"/>
        </w:numPr>
        <w:spacing w:line="360" w:lineRule="auto"/>
        <w:rPr>
          <w:b/>
          <w:lang w:val="en-US"/>
        </w:rPr>
      </w:pPr>
      <w:r w:rsidRPr="00C167BA">
        <w:rPr>
          <w:b/>
        </w:rPr>
        <w:t xml:space="preserve">За </w:t>
      </w:r>
      <w:r w:rsidR="00096419" w:rsidRPr="00C167BA">
        <w:rPr>
          <w:b/>
        </w:rPr>
        <w:t>доставката на резервните части</w:t>
      </w:r>
    </w:p>
    <w:p w14:paraId="3ACFFB73" w14:textId="08BE9B01" w:rsidR="00CC0D75" w:rsidRDefault="00C167BA" w:rsidP="00DA6F12">
      <w:pPr>
        <w:pStyle w:val="2"/>
        <w:numPr>
          <w:ilvl w:val="0"/>
          <w:numId w:val="0"/>
        </w:numPr>
        <w:spacing w:line="360" w:lineRule="auto"/>
        <w:ind w:firstLine="851"/>
        <w:rPr>
          <w:bCs/>
          <w:szCs w:val="24"/>
        </w:rPr>
      </w:pPr>
      <w:r>
        <w:t>Участниците</w:t>
      </w:r>
      <w:r w:rsidRPr="00324A05">
        <w:t xml:space="preserve"> </w:t>
      </w:r>
      <w:r w:rsidR="00096419" w:rsidRPr="00324A05">
        <w:t>да декларира</w:t>
      </w:r>
      <w:r>
        <w:t>т</w:t>
      </w:r>
      <w:r w:rsidR="00096419" w:rsidRPr="00324A05">
        <w:t xml:space="preserve">, че всички резервни части са </w:t>
      </w:r>
      <w:r>
        <w:t>нови, неупотребявани</w:t>
      </w:r>
      <w:r w:rsidR="00762AF6">
        <w:t>, нерециклирани</w:t>
      </w:r>
      <w:r>
        <w:t xml:space="preserve"> и </w:t>
      </w:r>
      <w:r w:rsidR="00096419" w:rsidRPr="00324A05">
        <w:t>оригинални</w:t>
      </w:r>
      <w:r>
        <w:t xml:space="preserve"> (или еквивалентни на оригинални)</w:t>
      </w:r>
      <w:r w:rsidR="00096419" w:rsidRPr="00324A05">
        <w:t xml:space="preserve"> и че ще бъдат вложени по техническите изисквания на производителя</w:t>
      </w:r>
      <w:r w:rsidR="00CC0D75" w:rsidRPr="00324A05">
        <w:t>.</w:t>
      </w:r>
      <w:r w:rsidR="00FA2B3F">
        <w:t xml:space="preserve"> Участниците следва да</w:t>
      </w:r>
      <w:r w:rsidR="00FA2B3F">
        <w:rPr>
          <w:szCs w:val="24"/>
        </w:rPr>
        <w:t xml:space="preserve"> поддържат</w:t>
      </w:r>
      <w:r w:rsidR="00FA2B3F" w:rsidRPr="00BB005A">
        <w:rPr>
          <w:szCs w:val="24"/>
        </w:rPr>
        <w:t xml:space="preserve"> </w:t>
      </w:r>
      <w:r w:rsidR="00FA2B3F" w:rsidRPr="00BB005A">
        <w:rPr>
          <w:bCs/>
          <w:szCs w:val="24"/>
        </w:rPr>
        <w:t>складова наличност от резервни части за посрещане необходимостта от бърза реакция при евентуален технически проблем</w:t>
      </w:r>
      <w:r w:rsidR="00FA2B3F">
        <w:rPr>
          <w:bCs/>
          <w:szCs w:val="24"/>
        </w:rPr>
        <w:t>/повреда.</w:t>
      </w:r>
    </w:p>
    <w:p w14:paraId="50B30D75" w14:textId="491B51FC" w:rsidR="00AC1942" w:rsidRDefault="00EA7D46" w:rsidP="00EA7D46">
      <w:pPr>
        <w:pStyle w:val="2"/>
        <w:numPr>
          <w:ilvl w:val="0"/>
          <w:numId w:val="0"/>
        </w:numPr>
        <w:tabs>
          <w:tab w:val="left" w:pos="851"/>
        </w:tabs>
        <w:spacing w:line="360" w:lineRule="auto"/>
        <w:rPr>
          <w:bCs/>
          <w:szCs w:val="24"/>
        </w:rPr>
      </w:pPr>
      <w:r>
        <w:rPr>
          <w:bCs/>
          <w:szCs w:val="24"/>
        </w:rPr>
        <w:tab/>
      </w:r>
      <w:r w:rsidR="00AC1942" w:rsidRPr="00AC1942">
        <w:rPr>
          <w:bCs/>
          <w:szCs w:val="24"/>
        </w:rPr>
        <w:t xml:space="preserve">В случай че участникът в техническото си предложение за изпълнение на поръчката по обособената позиция е предложил еквивалентни на оригиналните резервни части за марката и модела на устройствата от настоящата техническа спецификация, представя писмено доказателство от производителя на машините (или от официален представител на производителя), че производителят признава предлаганите от него </w:t>
      </w:r>
      <w:r w:rsidR="008C72BE">
        <w:rPr>
          <w:bCs/>
          <w:szCs w:val="24"/>
        </w:rPr>
        <w:t>резервни части</w:t>
      </w:r>
      <w:r w:rsidR="00AC1942" w:rsidRPr="00AC1942">
        <w:rPr>
          <w:bCs/>
          <w:szCs w:val="24"/>
        </w:rPr>
        <w:t xml:space="preserve"> като еквивалентни. (описва се доказателството по смисъла и съгласно изискванията на чл. 50 от ЗОП).</w:t>
      </w:r>
    </w:p>
    <w:p w14:paraId="708F901D" w14:textId="488059B5" w:rsidR="007371D7" w:rsidRDefault="00EA7D46" w:rsidP="00EA7D46">
      <w:pPr>
        <w:pStyle w:val="2"/>
        <w:numPr>
          <w:ilvl w:val="0"/>
          <w:numId w:val="18"/>
        </w:numPr>
        <w:spacing w:line="360" w:lineRule="auto"/>
        <w:ind w:left="851" w:hanging="142"/>
        <w:rPr>
          <w:b/>
        </w:rPr>
      </w:pPr>
      <w:r>
        <w:rPr>
          <w:b/>
        </w:rPr>
        <w:t xml:space="preserve">   </w:t>
      </w:r>
      <w:r w:rsidRPr="00EA7D46">
        <w:rPr>
          <w:b/>
        </w:rPr>
        <w:t>Оторизация</w:t>
      </w:r>
    </w:p>
    <w:p w14:paraId="78C2888F" w14:textId="218F5327" w:rsidR="00EA7D46" w:rsidRDefault="00EA7D46" w:rsidP="00EA7D46">
      <w:pPr>
        <w:pStyle w:val="2"/>
        <w:numPr>
          <w:ilvl w:val="0"/>
          <w:numId w:val="0"/>
        </w:numPr>
        <w:tabs>
          <w:tab w:val="left" w:pos="851"/>
        </w:tabs>
        <w:spacing w:line="360" w:lineRule="auto"/>
        <w:rPr>
          <w:bCs/>
          <w:szCs w:val="24"/>
        </w:rPr>
      </w:pPr>
      <w:r>
        <w:rPr>
          <w:bCs/>
          <w:szCs w:val="24"/>
        </w:rPr>
        <w:tab/>
      </w:r>
      <w:r w:rsidRPr="00AC1942">
        <w:rPr>
          <w:bCs/>
          <w:szCs w:val="24"/>
        </w:rPr>
        <w:t xml:space="preserve">Към техническото предложение за изпълнение на поръчката по обособената позиция участникът трябва да представи оторизационно писмо от производителя/официалния представител на производителя на </w:t>
      </w:r>
      <w:r>
        <w:rPr>
          <w:bCs/>
          <w:szCs w:val="24"/>
        </w:rPr>
        <w:t>устройствата/машините</w:t>
      </w:r>
      <w:r w:rsidRPr="00AC1942">
        <w:rPr>
          <w:bCs/>
          <w:szCs w:val="24"/>
        </w:rPr>
        <w:t xml:space="preserve">, от което да е видно, че участникът е упълномощен да извършва сервизна дейност на територията на Република България. В случай, че участникът е упълномощен от </w:t>
      </w:r>
      <w:r w:rsidRPr="00AC1942">
        <w:rPr>
          <w:bCs/>
          <w:szCs w:val="24"/>
        </w:rPr>
        <w:lastRenderedPageBreak/>
        <w:t>официалния представител на производителя, в офертата към оторизационното писмо на официалния представител се прилага и оторизационно писмо издадено от производителя, с което се упълномощава официалния представител</w:t>
      </w:r>
      <w:r>
        <w:rPr>
          <w:bCs/>
          <w:szCs w:val="24"/>
        </w:rPr>
        <w:t xml:space="preserve"> с права да преупълномощава трети лица</w:t>
      </w:r>
      <w:r w:rsidRPr="00AC1942">
        <w:rPr>
          <w:bCs/>
          <w:szCs w:val="24"/>
        </w:rPr>
        <w:t>.</w:t>
      </w:r>
    </w:p>
    <w:p w14:paraId="1BC4C77C" w14:textId="77777777" w:rsidR="00EA7D46" w:rsidRPr="00EA7D46" w:rsidRDefault="00EA7D46" w:rsidP="00C03FBC">
      <w:pPr>
        <w:pStyle w:val="2"/>
        <w:numPr>
          <w:ilvl w:val="0"/>
          <w:numId w:val="0"/>
        </w:numPr>
        <w:spacing w:line="360" w:lineRule="auto"/>
        <w:ind w:left="1146"/>
        <w:rPr>
          <w:b/>
        </w:rPr>
      </w:pPr>
    </w:p>
    <w:sectPr w:rsidR="00EA7D46" w:rsidRPr="00EA7D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24495" w14:textId="77777777" w:rsidR="007F097E" w:rsidRDefault="007F097E" w:rsidP="00762AF6">
      <w:pPr>
        <w:spacing w:before="0" w:after="0"/>
      </w:pPr>
      <w:r>
        <w:separator/>
      </w:r>
    </w:p>
  </w:endnote>
  <w:endnote w:type="continuationSeparator" w:id="0">
    <w:p w14:paraId="6B4D6098" w14:textId="77777777" w:rsidR="007F097E" w:rsidRDefault="007F097E" w:rsidP="00762AF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1E47D" w14:textId="5FCFB23D" w:rsidR="00B51BDC" w:rsidRDefault="00B51BD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7B81">
      <w:rPr>
        <w:noProof/>
      </w:rPr>
      <w:t>4</w:t>
    </w:r>
    <w:r>
      <w:rPr>
        <w:noProof/>
      </w:rPr>
      <w:fldChar w:fldCharType="end"/>
    </w:r>
  </w:p>
  <w:p w14:paraId="615F94F4" w14:textId="77777777" w:rsidR="00B51BDC" w:rsidRDefault="00B51B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F42EF" w14:textId="77777777" w:rsidR="007F097E" w:rsidRDefault="007F097E" w:rsidP="00762AF6">
      <w:pPr>
        <w:spacing w:before="0" w:after="0"/>
      </w:pPr>
      <w:r>
        <w:separator/>
      </w:r>
    </w:p>
  </w:footnote>
  <w:footnote w:type="continuationSeparator" w:id="0">
    <w:p w14:paraId="173209F7" w14:textId="77777777" w:rsidR="007F097E" w:rsidRDefault="007F097E" w:rsidP="00762AF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390B2" w14:textId="14CD4C65" w:rsidR="00762AF6" w:rsidRPr="007731B8" w:rsidRDefault="00762AF6" w:rsidP="00762AF6">
    <w:pPr>
      <w:widowControl w:val="0"/>
      <w:tabs>
        <w:tab w:val="left" w:pos="709"/>
        <w:tab w:val="left" w:pos="7088"/>
      </w:tabs>
      <w:autoSpaceDE w:val="0"/>
      <w:autoSpaceDN w:val="0"/>
      <w:adjustRightInd w:val="0"/>
      <w:spacing w:before="240" w:after="240"/>
      <w:ind w:firstLine="720"/>
      <w:jc w:val="right"/>
      <w:rPr>
        <w:rFonts w:eastAsia="Times New Roman"/>
        <w:szCs w:val="24"/>
        <w:lang w:val="en-US" w:eastAsia="bg-BG"/>
      </w:rPr>
    </w:pPr>
    <w:r w:rsidRPr="007731B8">
      <w:rPr>
        <w:rFonts w:eastAsia="Times New Roman"/>
        <w:szCs w:val="24"/>
        <w:lang w:eastAsia="bg-BG"/>
      </w:rPr>
      <w:t xml:space="preserve">Приложение № </w:t>
    </w:r>
    <w:r w:rsidR="007731B8" w:rsidRPr="007731B8">
      <w:rPr>
        <w:rFonts w:eastAsia="Times New Roman"/>
        <w:szCs w:val="24"/>
        <w:lang w:val="en-US" w:eastAsia="bg-BG"/>
      </w:rPr>
      <w:t>1а</w:t>
    </w:r>
  </w:p>
  <w:p w14:paraId="73F38A7D" w14:textId="77777777" w:rsidR="00762AF6" w:rsidRDefault="00762AF6" w:rsidP="00C03FBC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59B34C4"/>
    <w:multiLevelType w:val="hybridMultilevel"/>
    <w:tmpl w:val="F780B46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0A3220"/>
    <w:multiLevelType w:val="hybridMultilevel"/>
    <w:tmpl w:val="7F961C50"/>
    <w:lvl w:ilvl="0" w:tplc="040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09802258"/>
    <w:multiLevelType w:val="hybridMultilevel"/>
    <w:tmpl w:val="7C08DA24"/>
    <w:lvl w:ilvl="0" w:tplc="739E0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F535D51"/>
    <w:multiLevelType w:val="hybridMultilevel"/>
    <w:tmpl w:val="523AE8AE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EDE11E8"/>
    <w:multiLevelType w:val="multilevel"/>
    <w:tmpl w:val="5BF4FCDE"/>
    <w:lvl w:ilvl="0">
      <w:start w:val="1"/>
      <w:numFmt w:val="bullet"/>
      <w:lvlText w:val="o"/>
      <w:lvlJc w:val="left"/>
      <w:pPr>
        <w:ind w:left="432" w:hanging="432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4B483ACD"/>
    <w:multiLevelType w:val="hybridMultilevel"/>
    <w:tmpl w:val="FA3EE3EE"/>
    <w:lvl w:ilvl="0" w:tplc="0402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>
    <w:nsid w:val="6A9A55F9"/>
    <w:multiLevelType w:val="hybridMultilevel"/>
    <w:tmpl w:val="9AB6DEAE"/>
    <w:lvl w:ilvl="0" w:tplc="0402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>
    <w:nsid w:val="6E191329"/>
    <w:multiLevelType w:val="hybridMultilevel"/>
    <w:tmpl w:val="73B08F9C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38632D9"/>
    <w:multiLevelType w:val="hybridMultilevel"/>
    <w:tmpl w:val="E2BE3D9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"/>
  </w:num>
  <w:num w:numId="5">
    <w:abstractNumId w:val="0"/>
  </w:num>
  <w:num w:numId="6">
    <w:abstractNumId w:val="10"/>
  </w:num>
  <w:num w:numId="7">
    <w:abstractNumId w:val="0"/>
  </w:num>
  <w:num w:numId="8">
    <w:abstractNumId w:val="0"/>
  </w:num>
  <w:num w:numId="9">
    <w:abstractNumId w:val="5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3"/>
  </w:num>
  <w:num w:numId="15">
    <w:abstractNumId w:val="8"/>
  </w:num>
  <w:num w:numId="16">
    <w:abstractNumId w:val="4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93"/>
    <w:rsid w:val="00076349"/>
    <w:rsid w:val="00094BA1"/>
    <w:rsid w:val="00096419"/>
    <w:rsid w:val="000C739B"/>
    <w:rsid w:val="000D4AD6"/>
    <w:rsid w:val="000E224D"/>
    <w:rsid w:val="000E43BB"/>
    <w:rsid w:val="000F30AD"/>
    <w:rsid w:val="001258EE"/>
    <w:rsid w:val="00175025"/>
    <w:rsid w:val="001A61B7"/>
    <w:rsid w:val="001B7576"/>
    <w:rsid w:val="001C0263"/>
    <w:rsid w:val="001E7B81"/>
    <w:rsid w:val="00220FD3"/>
    <w:rsid w:val="002B44C7"/>
    <w:rsid w:val="00311293"/>
    <w:rsid w:val="00324A05"/>
    <w:rsid w:val="00333949"/>
    <w:rsid w:val="003637BA"/>
    <w:rsid w:val="003A53D5"/>
    <w:rsid w:val="003D0ADF"/>
    <w:rsid w:val="003D1E60"/>
    <w:rsid w:val="00410709"/>
    <w:rsid w:val="00443D5C"/>
    <w:rsid w:val="004526FE"/>
    <w:rsid w:val="00490918"/>
    <w:rsid w:val="004B0CCD"/>
    <w:rsid w:val="004B1FCA"/>
    <w:rsid w:val="004E08C6"/>
    <w:rsid w:val="004E0DEB"/>
    <w:rsid w:val="00512E84"/>
    <w:rsid w:val="005222AE"/>
    <w:rsid w:val="005570AD"/>
    <w:rsid w:val="00560E8F"/>
    <w:rsid w:val="005633B7"/>
    <w:rsid w:val="00594B72"/>
    <w:rsid w:val="005D2F0D"/>
    <w:rsid w:val="005E1860"/>
    <w:rsid w:val="005E3280"/>
    <w:rsid w:val="005E607B"/>
    <w:rsid w:val="006B4424"/>
    <w:rsid w:val="006C111B"/>
    <w:rsid w:val="006D6D40"/>
    <w:rsid w:val="007173B7"/>
    <w:rsid w:val="007371D7"/>
    <w:rsid w:val="007539A0"/>
    <w:rsid w:val="00762AF6"/>
    <w:rsid w:val="007723FE"/>
    <w:rsid w:val="007731B8"/>
    <w:rsid w:val="0079724B"/>
    <w:rsid w:val="007D0463"/>
    <w:rsid w:val="007F097E"/>
    <w:rsid w:val="008202D9"/>
    <w:rsid w:val="008334A1"/>
    <w:rsid w:val="00842D99"/>
    <w:rsid w:val="00874ABB"/>
    <w:rsid w:val="0089004C"/>
    <w:rsid w:val="008C72BE"/>
    <w:rsid w:val="008D5BE9"/>
    <w:rsid w:val="008F2F6A"/>
    <w:rsid w:val="008F7B61"/>
    <w:rsid w:val="00920D45"/>
    <w:rsid w:val="00925D55"/>
    <w:rsid w:val="00943D1D"/>
    <w:rsid w:val="00967770"/>
    <w:rsid w:val="00973C76"/>
    <w:rsid w:val="0098272F"/>
    <w:rsid w:val="0099300D"/>
    <w:rsid w:val="009A1957"/>
    <w:rsid w:val="009E16D9"/>
    <w:rsid w:val="00A27227"/>
    <w:rsid w:val="00A51BB9"/>
    <w:rsid w:val="00A56B41"/>
    <w:rsid w:val="00A6627F"/>
    <w:rsid w:val="00A83D55"/>
    <w:rsid w:val="00A85ABA"/>
    <w:rsid w:val="00A923EC"/>
    <w:rsid w:val="00AC1942"/>
    <w:rsid w:val="00AE4D3C"/>
    <w:rsid w:val="00B4682E"/>
    <w:rsid w:val="00B51BDC"/>
    <w:rsid w:val="00B536BB"/>
    <w:rsid w:val="00B64706"/>
    <w:rsid w:val="00B9068D"/>
    <w:rsid w:val="00BF6DDD"/>
    <w:rsid w:val="00C02E45"/>
    <w:rsid w:val="00C03FBC"/>
    <w:rsid w:val="00C1018D"/>
    <w:rsid w:val="00C12E43"/>
    <w:rsid w:val="00C133D5"/>
    <w:rsid w:val="00C167BA"/>
    <w:rsid w:val="00C41A31"/>
    <w:rsid w:val="00C75B26"/>
    <w:rsid w:val="00CC0D75"/>
    <w:rsid w:val="00CE3256"/>
    <w:rsid w:val="00CF4158"/>
    <w:rsid w:val="00D55765"/>
    <w:rsid w:val="00D77D72"/>
    <w:rsid w:val="00D825D7"/>
    <w:rsid w:val="00D96AF4"/>
    <w:rsid w:val="00D975ED"/>
    <w:rsid w:val="00DA6F12"/>
    <w:rsid w:val="00DF2759"/>
    <w:rsid w:val="00DF6FF8"/>
    <w:rsid w:val="00E145C6"/>
    <w:rsid w:val="00E255E5"/>
    <w:rsid w:val="00E605DD"/>
    <w:rsid w:val="00E63917"/>
    <w:rsid w:val="00EA24C6"/>
    <w:rsid w:val="00EA7D46"/>
    <w:rsid w:val="00EB1FB2"/>
    <w:rsid w:val="00ED47A3"/>
    <w:rsid w:val="00F21DAB"/>
    <w:rsid w:val="00FA2B3F"/>
    <w:rsid w:val="00FD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60D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D5C"/>
    <w:pPr>
      <w:spacing w:before="120" w:after="120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293"/>
    <w:pPr>
      <w:spacing w:after="0"/>
      <w:ind w:left="720" w:firstLine="567"/>
      <w:contextualSpacing/>
    </w:pPr>
    <w:rPr>
      <w:rFonts w:eastAsia="Times New Roman"/>
      <w:szCs w:val="20"/>
      <w:lang w:eastAsia="bg-BG"/>
    </w:rPr>
  </w:style>
  <w:style w:type="paragraph" w:customStyle="1" w:styleId="1">
    <w:name w:val="Заглавие 1"/>
    <w:basedOn w:val="Normal"/>
    <w:rsid w:val="000D4AD6"/>
    <w:pPr>
      <w:numPr>
        <w:numId w:val="5"/>
      </w:numPr>
    </w:pPr>
  </w:style>
  <w:style w:type="paragraph" w:customStyle="1" w:styleId="2">
    <w:name w:val="Заглавие 2"/>
    <w:basedOn w:val="Normal"/>
    <w:rsid w:val="000D4AD6"/>
    <w:pPr>
      <w:numPr>
        <w:ilvl w:val="1"/>
        <w:numId w:val="5"/>
      </w:numPr>
    </w:pPr>
  </w:style>
  <w:style w:type="paragraph" w:customStyle="1" w:styleId="3">
    <w:name w:val="Заглавие 3"/>
    <w:basedOn w:val="Normal"/>
    <w:rsid w:val="000D4AD6"/>
    <w:pPr>
      <w:numPr>
        <w:ilvl w:val="2"/>
        <w:numId w:val="5"/>
      </w:numPr>
    </w:pPr>
  </w:style>
  <w:style w:type="paragraph" w:customStyle="1" w:styleId="4">
    <w:name w:val="Заглавие 4"/>
    <w:basedOn w:val="Normal"/>
    <w:rsid w:val="000D4AD6"/>
    <w:pPr>
      <w:numPr>
        <w:ilvl w:val="3"/>
        <w:numId w:val="5"/>
      </w:numPr>
    </w:pPr>
  </w:style>
  <w:style w:type="paragraph" w:customStyle="1" w:styleId="5">
    <w:name w:val="Заглавие 5"/>
    <w:basedOn w:val="Normal"/>
    <w:rsid w:val="000D4AD6"/>
    <w:pPr>
      <w:numPr>
        <w:ilvl w:val="4"/>
        <w:numId w:val="5"/>
      </w:numPr>
    </w:pPr>
  </w:style>
  <w:style w:type="paragraph" w:customStyle="1" w:styleId="6">
    <w:name w:val="Заглавие 6"/>
    <w:basedOn w:val="Normal"/>
    <w:rsid w:val="000D4AD6"/>
    <w:pPr>
      <w:numPr>
        <w:ilvl w:val="5"/>
        <w:numId w:val="5"/>
      </w:numPr>
    </w:pPr>
  </w:style>
  <w:style w:type="paragraph" w:customStyle="1" w:styleId="7">
    <w:name w:val="Заглавие 7"/>
    <w:basedOn w:val="Normal"/>
    <w:rsid w:val="000D4AD6"/>
    <w:pPr>
      <w:numPr>
        <w:ilvl w:val="6"/>
        <w:numId w:val="5"/>
      </w:numPr>
    </w:pPr>
  </w:style>
  <w:style w:type="paragraph" w:customStyle="1" w:styleId="8">
    <w:name w:val="Заглавие 8"/>
    <w:basedOn w:val="Normal"/>
    <w:rsid w:val="000D4AD6"/>
    <w:pPr>
      <w:numPr>
        <w:ilvl w:val="7"/>
        <w:numId w:val="5"/>
      </w:numPr>
    </w:pPr>
  </w:style>
  <w:style w:type="paragraph" w:customStyle="1" w:styleId="9">
    <w:name w:val="Заглавие 9"/>
    <w:basedOn w:val="Normal"/>
    <w:rsid w:val="000D4AD6"/>
    <w:pPr>
      <w:numPr>
        <w:ilvl w:val="8"/>
        <w:numId w:val="5"/>
      </w:numPr>
    </w:pPr>
  </w:style>
  <w:style w:type="character" w:styleId="Hyperlink">
    <w:name w:val="Hyperlink"/>
    <w:uiPriority w:val="99"/>
    <w:unhideWhenUsed/>
    <w:rsid w:val="00443D5C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443D5C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A85A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AB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85ABA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A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5ABA"/>
    <w:rPr>
      <w:rFonts w:ascii="Times New Roman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AB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5ABA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62A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62AF6"/>
    <w:rPr>
      <w:rFonts w:ascii="Times New Roman" w:hAnsi="Times New Roman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62AF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62AF6"/>
    <w:rPr>
      <w:rFonts w:ascii="Times New Roman" w:hAnsi="Times New Roman"/>
      <w:sz w:val="24"/>
      <w:szCs w:val="22"/>
      <w:lang w:eastAsia="en-US"/>
    </w:rPr>
  </w:style>
  <w:style w:type="paragraph" w:customStyle="1" w:styleId="CharChar1">
    <w:name w:val="Char Char1 Знак Знак"/>
    <w:basedOn w:val="Normal"/>
    <w:rsid w:val="00FA2B3F"/>
    <w:pPr>
      <w:tabs>
        <w:tab w:val="left" w:pos="709"/>
      </w:tabs>
      <w:spacing w:before="0" w:after="0"/>
      <w:ind w:firstLine="0"/>
      <w:jc w:val="left"/>
    </w:pPr>
    <w:rPr>
      <w:rFonts w:ascii="Tahoma" w:eastAsia="Times New Roman" w:hAnsi="Tahoma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046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D0463"/>
    <w:rPr>
      <w:rFonts w:ascii="Times New Roman" w:hAnsi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7D046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42D9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D5C"/>
    <w:pPr>
      <w:spacing w:before="120" w:after="120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293"/>
    <w:pPr>
      <w:spacing w:after="0"/>
      <w:ind w:left="720" w:firstLine="567"/>
      <w:contextualSpacing/>
    </w:pPr>
    <w:rPr>
      <w:rFonts w:eastAsia="Times New Roman"/>
      <w:szCs w:val="20"/>
      <w:lang w:eastAsia="bg-BG"/>
    </w:rPr>
  </w:style>
  <w:style w:type="paragraph" w:customStyle="1" w:styleId="1">
    <w:name w:val="Заглавие 1"/>
    <w:basedOn w:val="Normal"/>
    <w:rsid w:val="000D4AD6"/>
    <w:pPr>
      <w:numPr>
        <w:numId w:val="5"/>
      </w:numPr>
    </w:pPr>
  </w:style>
  <w:style w:type="paragraph" w:customStyle="1" w:styleId="2">
    <w:name w:val="Заглавие 2"/>
    <w:basedOn w:val="Normal"/>
    <w:rsid w:val="000D4AD6"/>
    <w:pPr>
      <w:numPr>
        <w:ilvl w:val="1"/>
        <w:numId w:val="5"/>
      </w:numPr>
    </w:pPr>
  </w:style>
  <w:style w:type="paragraph" w:customStyle="1" w:styleId="3">
    <w:name w:val="Заглавие 3"/>
    <w:basedOn w:val="Normal"/>
    <w:rsid w:val="000D4AD6"/>
    <w:pPr>
      <w:numPr>
        <w:ilvl w:val="2"/>
        <w:numId w:val="5"/>
      </w:numPr>
    </w:pPr>
  </w:style>
  <w:style w:type="paragraph" w:customStyle="1" w:styleId="4">
    <w:name w:val="Заглавие 4"/>
    <w:basedOn w:val="Normal"/>
    <w:rsid w:val="000D4AD6"/>
    <w:pPr>
      <w:numPr>
        <w:ilvl w:val="3"/>
        <w:numId w:val="5"/>
      </w:numPr>
    </w:pPr>
  </w:style>
  <w:style w:type="paragraph" w:customStyle="1" w:styleId="5">
    <w:name w:val="Заглавие 5"/>
    <w:basedOn w:val="Normal"/>
    <w:rsid w:val="000D4AD6"/>
    <w:pPr>
      <w:numPr>
        <w:ilvl w:val="4"/>
        <w:numId w:val="5"/>
      </w:numPr>
    </w:pPr>
  </w:style>
  <w:style w:type="paragraph" w:customStyle="1" w:styleId="6">
    <w:name w:val="Заглавие 6"/>
    <w:basedOn w:val="Normal"/>
    <w:rsid w:val="000D4AD6"/>
    <w:pPr>
      <w:numPr>
        <w:ilvl w:val="5"/>
        <w:numId w:val="5"/>
      </w:numPr>
    </w:pPr>
  </w:style>
  <w:style w:type="paragraph" w:customStyle="1" w:styleId="7">
    <w:name w:val="Заглавие 7"/>
    <w:basedOn w:val="Normal"/>
    <w:rsid w:val="000D4AD6"/>
    <w:pPr>
      <w:numPr>
        <w:ilvl w:val="6"/>
        <w:numId w:val="5"/>
      </w:numPr>
    </w:pPr>
  </w:style>
  <w:style w:type="paragraph" w:customStyle="1" w:styleId="8">
    <w:name w:val="Заглавие 8"/>
    <w:basedOn w:val="Normal"/>
    <w:rsid w:val="000D4AD6"/>
    <w:pPr>
      <w:numPr>
        <w:ilvl w:val="7"/>
        <w:numId w:val="5"/>
      </w:numPr>
    </w:pPr>
  </w:style>
  <w:style w:type="paragraph" w:customStyle="1" w:styleId="9">
    <w:name w:val="Заглавие 9"/>
    <w:basedOn w:val="Normal"/>
    <w:rsid w:val="000D4AD6"/>
    <w:pPr>
      <w:numPr>
        <w:ilvl w:val="8"/>
        <w:numId w:val="5"/>
      </w:numPr>
    </w:pPr>
  </w:style>
  <w:style w:type="character" w:styleId="Hyperlink">
    <w:name w:val="Hyperlink"/>
    <w:uiPriority w:val="99"/>
    <w:unhideWhenUsed/>
    <w:rsid w:val="00443D5C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443D5C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A85A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AB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85ABA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A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5ABA"/>
    <w:rPr>
      <w:rFonts w:ascii="Times New Roman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AB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5ABA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62A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62AF6"/>
    <w:rPr>
      <w:rFonts w:ascii="Times New Roman" w:hAnsi="Times New Roman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62AF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62AF6"/>
    <w:rPr>
      <w:rFonts w:ascii="Times New Roman" w:hAnsi="Times New Roman"/>
      <w:sz w:val="24"/>
      <w:szCs w:val="22"/>
      <w:lang w:eastAsia="en-US"/>
    </w:rPr>
  </w:style>
  <w:style w:type="paragraph" w:customStyle="1" w:styleId="CharChar1">
    <w:name w:val="Char Char1 Знак Знак"/>
    <w:basedOn w:val="Normal"/>
    <w:rsid w:val="00FA2B3F"/>
    <w:pPr>
      <w:tabs>
        <w:tab w:val="left" w:pos="709"/>
      </w:tabs>
      <w:spacing w:before="0" w:after="0"/>
      <w:ind w:firstLine="0"/>
      <w:jc w:val="left"/>
    </w:pPr>
    <w:rPr>
      <w:rFonts w:ascii="Tahoma" w:eastAsia="Times New Roman" w:hAnsi="Tahoma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046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D0463"/>
    <w:rPr>
      <w:rFonts w:ascii="Times New Roman" w:hAnsi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7D046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42D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71188-4018-432F-98CA-90A9EC8B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2018-11-28T08:53:00Z</cp:lastPrinted>
  <dcterms:created xsi:type="dcterms:W3CDTF">2019-12-09T09:14:00Z</dcterms:created>
  <dcterms:modified xsi:type="dcterms:W3CDTF">2020-02-18T12:10:00Z</dcterms:modified>
</cp:coreProperties>
</file>