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04" w:rsidRDefault="000A0704" w:rsidP="000A0704">
      <w:pPr>
        <w:pStyle w:val="a"/>
        <w:rPr>
          <w:b/>
          <w:lang w:val="en-US"/>
        </w:rPr>
      </w:pPr>
      <w:r>
        <w:rPr>
          <w:b/>
          <w:lang w:val="en-US"/>
        </w:rPr>
        <w:t xml:space="preserve">                               </w:t>
      </w:r>
      <w:r w:rsidR="005451A9">
        <w:rPr>
          <w:b/>
        </w:rPr>
        <w:t>ТЕХНИЧЕСКА</w:t>
      </w:r>
      <w:r>
        <w:rPr>
          <w:b/>
        </w:rPr>
        <w:t xml:space="preserve"> СПЕЦИФИКАЦИ</w:t>
      </w:r>
      <w:r w:rsidR="005451A9">
        <w:rPr>
          <w:b/>
        </w:rPr>
        <w:t>Я</w:t>
      </w:r>
      <w:r w:rsidR="009311F7">
        <w:rPr>
          <w:b/>
        </w:rPr>
        <w:t xml:space="preserve"> № 1</w:t>
      </w:r>
    </w:p>
    <w:p w:rsidR="00670679" w:rsidRPr="00670679" w:rsidRDefault="00670679" w:rsidP="000A0704">
      <w:pPr>
        <w:pStyle w:val="a"/>
        <w:rPr>
          <w:b/>
        </w:rPr>
      </w:pPr>
      <w:r>
        <w:rPr>
          <w:b/>
          <w:lang w:val="en-US"/>
        </w:rPr>
        <w:t xml:space="preserve">                                 </w:t>
      </w:r>
      <w:r w:rsidR="000F1CBB">
        <w:rPr>
          <w:b/>
        </w:rPr>
        <w:t>о</w:t>
      </w:r>
      <w:r>
        <w:rPr>
          <w:b/>
        </w:rPr>
        <w:t xml:space="preserve">тносно </w:t>
      </w:r>
      <w:r w:rsidR="0088312B">
        <w:rPr>
          <w:b/>
        </w:rPr>
        <w:t>обществена поръчка с предмет:</w:t>
      </w:r>
    </w:p>
    <w:p w:rsidR="000A0704" w:rsidRPr="006E4070" w:rsidRDefault="00CA49CA" w:rsidP="000A0704">
      <w:pPr>
        <w:pStyle w:val="a"/>
        <w:jc w:val="center"/>
        <w:rPr>
          <w:b/>
        </w:rPr>
      </w:pPr>
      <w:r w:rsidDel="00CA49CA">
        <w:rPr>
          <w:b/>
          <w:lang w:val="en-US"/>
        </w:rPr>
        <w:t xml:space="preserve"> </w:t>
      </w:r>
      <w:r w:rsidR="000A0704">
        <w:rPr>
          <w:b/>
        </w:rPr>
        <w:t>„Абонамент за достъп до съдържание на чуждестранни специализир</w:t>
      </w:r>
      <w:r w:rsidR="00001761">
        <w:rPr>
          <w:b/>
        </w:rPr>
        <w:t xml:space="preserve">ани електронни издания през 2020 </w:t>
      </w:r>
      <w:r w:rsidR="000A0704">
        <w:rPr>
          <w:b/>
        </w:rPr>
        <w:t>г“.</w:t>
      </w:r>
    </w:p>
    <w:p w:rsidR="000A0704" w:rsidRDefault="000A0704" w:rsidP="000A0704">
      <w:pPr>
        <w:pStyle w:val="a"/>
        <w:rPr>
          <w:b/>
        </w:rPr>
      </w:pPr>
    </w:p>
    <w:p w:rsidR="000A0704" w:rsidRPr="002E4E34" w:rsidRDefault="000A0704" w:rsidP="000A0704">
      <w:pPr>
        <w:pBdr>
          <w:bottom w:val="single" w:sz="6" w:space="1" w:color="auto"/>
        </w:pBdr>
        <w:rPr>
          <w:u w:val="single"/>
        </w:rPr>
      </w:pPr>
      <w:r w:rsidRPr="002E4E34">
        <w:rPr>
          <w:sz w:val="22"/>
          <w:szCs w:val="22"/>
          <w:lang w:eastAsia="en-US"/>
        </w:rPr>
        <w:t>Изисквания от възложителя относно абонамента за достъп до електронно съдържание на чуждестранни специализирани електронни издания за 20</w:t>
      </w:r>
      <w:r w:rsidR="00001761">
        <w:rPr>
          <w:sz w:val="22"/>
          <w:szCs w:val="22"/>
          <w:lang w:eastAsia="en-US"/>
        </w:rPr>
        <w:t>20</w:t>
      </w:r>
      <w:r w:rsidR="009B5659">
        <w:rPr>
          <w:sz w:val="22"/>
          <w:szCs w:val="22"/>
          <w:lang w:eastAsia="en-US"/>
        </w:rPr>
        <w:t xml:space="preserve"> </w:t>
      </w:r>
      <w:r w:rsidRPr="002E4E34">
        <w:rPr>
          <w:sz w:val="22"/>
          <w:szCs w:val="22"/>
          <w:lang w:eastAsia="en-US"/>
        </w:rPr>
        <w:t xml:space="preserve">г.– по заглавия и брой абонаменти. </w:t>
      </w:r>
    </w:p>
    <w:p w:rsidR="000A0704" w:rsidRPr="00757162" w:rsidRDefault="000A0704" w:rsidP="000A0704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0A0704" w:rsidRPr="00FD77CB" w:rsidRDefault="000A0704" w:rsidP="005A027D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Електронни бази данни и </w:t>
            </w:r>
            <w:r w:rsidR="005A027D">
              <w:rPr>
                <w:b/>
                <w:lang w:eastAsia="en-US"/>
              </w:rPr>
              <w:t>заглавия</w:t>
            </w:r>
            <w:r w:rsidRPr="000D3BE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за абонамент</w:t>
            </w:r>
          </w:p>
        </w:tc>
        <w:tc>
          <w:tcPr>
            <w:tcW w:w="2275" w:type="dxa"/>
          </w:tcPr>
          <w:p w:rsidR="000A0704" w:rsidRPr="00506619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 xml:space="preserve">Брой </w:t>
            </w:r>
            <w:r>
              <w:rPr>
                <w:b/>
                <w:lang w:eastAsia="en-US"/>
              </w:rPr>
              <w:t>абонаменти</w:t>
            </w:r>
            <w:r w:rsidR="00BA3650">
              <w:rPr>
                <w:b/>
                <w:lang w:eastAsia="en-US"/>
              </w:rPr>
              <w:t xml:space="preserve"> за </w:t>
            </w:r>
            <w:r w:rsidR="00506619">
              <w:rPr>
                <w:b/>
                <w:lang w:eastAsia="en-US"/>
              </w:rPr>
              <w:t>заглавие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961FE7">
              <w:rPr>
                <w:b/>
                <w:lang w:val="en-US" w:eastAsia="en-US"/>
              </w:rPr>
              <w:t xml:space="preserve">JSTOR: </w:t>
            </w:r>
            <w:r w:rsidR="00790846">
              <w:rPr>
                <w:lang w:val="en-US" w:eastAsia="en-US"/>
              </w:rPr>
              <w:t>online only</w:t>
            </w:r>
            <w:r w:rsidR="00790846">
              <w:rPr>
                <w:b/>
                <w:lang w:eastAsia="en-US"/>
              </w:rPr>
              <w:t xml:space="preserve"> </w:t>
            </w:r>
            <w:r w:rsidR="00790846">
              <w:rPr>
                <w:lang w:eastAsia="en-US"/>
              </w:rPr>
              <w:t>за колекциите:</w:t>
            </w:r>
          </w:p>
          <w:p w:rsidR="00AA1A31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Business I 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Business II</w:t>
            </w:r>
          </w:p>
          <w:p w:rsidR="008123C6" w:rsidRPr="00961FE7" w:rsidRDefault="00790846" w:rsidP="00AC242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Mathematics &amp; Statistics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F81604" w:rsidRDefault="000A07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F81604" w:rsidRP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AA1A31" w:rsidRPr="00AA1A31" w:rsidRDefault="00AA1A31" w:rsidP="008123C6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>WILEY Online Library: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s-ES" w:eastAsia="en-US"/>
              </w:rPr>
              <w:t>Econometrica Package (</w:t>
            </w:r>
            <w:r>
              <w:rPr>
                <w:sz w:val="20"/>
                <w:lang w:val="es-ES" w:eastAsia="en-US"/>
              </w:rPr>
              <w:t>Incl. Econometr.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>&amp;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 xml:space="preserve">Theor. Econ. </w:t>
            </w:r>
            <w:r>
              <w:rPr>
                <w:sz w:val="20"/>
                <w:lang w:val="en-US" w:eastAsia="en-US"/>
              </w:rPr>
              <w:t xml:space="preserve">&amp; Quantitat. Econ.) – online only – </w:t>
            </w:r>
            <w:r>
              <w:rPr>
                <w:szCs w:val="24"/>
                <w:lang w:val="en-US" w:eastAsia="en-US"/>
              </w:rPr>
              <w:t>MJECTA/E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International Economic Review – online only – IERE/E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Journal of Money, Credit and Banking – JMCB/E</w:t>
            </w:r>
          </w:p>
          <w:p w:rsidR="000A0704" w:rsidRPr="00C12E73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Oxford Bulletin of Economics &amp; Statistics – OBES/E</w:t>
            </w:r>
          </w:p>
          <w:p w:rsidR="00C12E73" w:rsidRPr="00961FE7" w:rsidRDefault="00C12E73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The Economic History Review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12E73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12E73" w:rsidRPr="00C12E73" w:rsidRDefault="00C12E73" w:rsidP="00C12E73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12E73" w:rsidRPr="00C12E73" w:rsidRDefault="00C12E73" w:rsidP="00CB0DD5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AEA Online – American Economic Association:</w:t>
            </w:r>
          </w:p>
          <w:p w:rsidR="000A0704" w:rsidRDefault="000A0704" w:rsidP="004212B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Групов абонамент за всичките 7 заглавия: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Applied 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Economic Policy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Microeconomics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Journal of Economic Literature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American Economic Review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Journal of Economic Perspectives</w:t>
            </w:r>
          </w:p>
        </w:tc>
        <w:tc>
          <w:tcPr>
            <w:tcW w:w="2275" w:type="dxa"/>
          </w:tcPr>
          <w:p w:rsidR="00AA1A31" w:rsidRDefault="00AA1A31" w:rsidP="00115F80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AA1A31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A0704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D567F" w:rsidRDefault="00BD567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SienceDirect Online:</w:t>
            </w:r>
          </w:p>
          <w:p w:rsidR="000A0704" w:rsidRPr="00BB2E50" w:rsidRDefault="004065AE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Explorations in Economic History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BB2E50">
              <w:rPr>
                <w:lang w:val="en-US" w:eastAsia="en-US"/>
              </w:rPr>
              <w:t>Journal of Banking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Financial Stability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International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Monetary Economics</w:t>
            </w:r>
          </w:p>
        </w:tc>
        <w:tc>
          <w:tcPr>
            <w:tcW w:w="2275" w:type="dxa"/>
          </w:tcPr>
          <w:p w:rsidR="00B21318" w:rsidRDefault="00B21318" w:rsidP="004065AE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4065AE" w:rsidP="004065AE">
            <w:pPr>
              <w:spacing w:line="240" w:lineRule="auto"/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B2E50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B11DA">
        <w:trPr>
          <w:trHeight w:val="94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Taylor &amp; Francis Online:</w:t>
            </w:r>
          </w:p>
          <w:p w:rsidR="000A0704" w:rsidRPr="008E04FF" w:rsidRDefault="000A0704" w:rsidP="008E04FF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Cs w:val="24"/>
                <w:lang w:val="en-US" w:eastAsia="en-US"/>
              </w:rPr>
            </w:pPr>
            <w:r w:rsidRPr="00596BD2">
              <w:rPr>
                <w:szCs w:val="24"/>
                <w:lang w:val="en-US" w:eastAsia="en-US"/>
              </w:rPr>
              <w:t>Journal of Business and Economic Statistics</w:t>
            </w:r>
          </w:p>
        </w:tc>
        <w:tc>
          <w:tcPr>
            <w:tcW w:w="2275" w:type="dxa"/>
          </w:tcPr>
          <w:p w:rsidR="00F81604" w:rsidRDefault="00F81604" w:rsidP="00F81604">
            <w:pPr>
              <w:spacing w:line="240" w:lineRule="auto"/>
              <w:ind w:firstLine="0"/>
              <w:rPr>
                <w:lang w:val="en-US" w:eastAsia="en-US"/>
              </w:rPr>
            </w:pPr>
          </w:p>
          <w:p w:rsidR="000A0704" w:rsidRDefault="00F81604" w:rsidP="00F81604">
            <w:pPr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 xml:space="preserve">1 </w:t>
            </w:r>
          </w:p>
          <w:p w:rsidR="00AF14D2" w:rsidRPr="00AF14D2" w:rsidRDefault="008E04FF" w:rsidP="00F81604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Cambridge </w:t>
            </w:r>
            <w:r w:rsidR="00FC072C">
              <w:rPr>
                <w:b/>
                <w:lang w:val="en-US" w:eastAsia="en-US"/>
              </w:rPr>
              <w:t xml:space="preserve">Journals </w:t>
            </w:r>
            <w:r>
              <w:rPr>
                <w:b/>
                <w:lang w:val="en-US" w:eastAsia="en-US"/>
              </w:rPr>
              <w:t>Online:</w:t>
            </w:r>
          </w:p>
          <w:p w:rsidR="000A0704" w:rsidRDefault="000A0704" w:rsidP="005A027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596BD2">
              <w:rPr>
                <w:lang w:val="en-US" w:eastAsia="en-US"/>
              </w:rPr>
              <w:t>Econometric Theory</w:t>
            </w:r>
          </w:p>
          <w:p w:rsidR="005A027D" w:rsidRPr="00596BD2" w:rsidRDefault="005A027D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Journal of Economic History</w:t>
            </w:r>
          </w:p>
        </w:tc>
        <w:tc>
          <w:tcPr>
            <w:tcW w:w="2275" w:type="dxa"/>
          </w:tcPr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5A027D" w:rsidRPr="00C74811" w:rsidRDefault="005A027D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MIT Press </w:t>
            </w:r>
            <w:r w:rsidR="00FC072C">
              <w:rPr>
                <w:b/>
                <w:lang w:val="en-US" w:eastAsia="en-US"/>
              </w:rPr>
              <w:t xml:space="preserve">Journals </w:t>
            </w:r>
            <w:r>
              <w:rPr>
                <w:b/>
                <w:lang w:val="en-US" w:eastAsia="en-US"/>
              </w:rPr>
              <w:t>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The Review of Economics and Statistics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596BD2" w:rsidRDefault="000A0704" w:rsidP="00C7481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Pr="00596BD2" w:rsidRDefault="00753129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The </w:t>
            </w:r>
            <w:r w:rsidR="000A0704">
              <w:rPr>
                <w:b/>
                <w:lang w:val="en-US" w:eastAsia="en-US"/>
              </w:rPr>
              <w:t xml:space="preserve">University of Chicago Press: </w:t>
            </w:r>
            <w:r w:rsidR="000A0704">
              <w:rPr>
                <w:lang w:val="en-US" w:eastAsia="en-US"/>
              </w:rPr>
              <w:t>online only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Political Economy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C74811" w:rsidRDefault="000A0704" w:rsidP="00C74811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9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Oxford Journals Online: </w:t>
            </w:r>
            <w:r>
              <w:rPr>
                <w:lang w:val="en-US" w:eastAsia="en-US"/>
              </w:rPr>
              <w:t>online only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Economic Policy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Review of Economic Studies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Quarterly Journal of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European Review of Economic History</w:t>
            </w:r>
          </w:p>
          <w:p w:rsidR="000F7B1F" w:rsidRDefault="000F7B1F" w:rsidP="000F7B1F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Econometrics Journal</w:t>
            </w:r>
          </w:p>
          <w:p w:rsidR="000F7B1F" w:rsidRPr="000F7B1F" w:rsidRDefault="000F7B1F" w:rsidP="000F7B1F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Economic Journal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F7B1F" w:rsidRDefault="00B21318" w:rsidP="000F7B1F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F7B1F" w:rsidRDefault="000F7B1F" w:rsidP="000F7B1F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0F7B1F" w:rsidRPr="000F7B1F" w:rsidRDefault="000F7B1F" w:rsidP="000F7B1F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5F0F48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CEPR DPS Online: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Programme areas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Financial Economics</w:t>
            </w:r>
          </w:p>
          <w:p w:rsidR="000A0704" w:rsidRPr="00D069AC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International Macroeconomics</w:t>
            </w:r>
          </w:p>
        </w:tc>
        <w:tc>
          <w:tcPr>
            <w:tcW w:w="2275" w:type="dxa"/>
          </w:tcPr>
          <w:p w:rsidR="00B21318" w:rsidRDefault="00B21318" w:rsidP="00B21318">
            <w:pPr>
              <w:ind w:firstLine="0"/>
              <w:jc w:val="center"/>
              <w:rPr>
                <w:lang w:eastAsia="en-US"/>
              </w:rPr>
            </w:pPr>
          </w:p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74811" w:rsidRP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</w:tc>
      </w:tr>
    </w:tbl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5A027D" w:rsidRDefault="00CD5E1C" w:rsidP="00CD5E1C">
      <w:pPr>
        <w:spacing w:before="240" w:after="60"/>
        <w:ind w:firstLine="0"/>
        <w:jc w:val="left"/>
        <w:rPr>
          <w:b/>
          <w:lang w:eastAsia="en-US"/>
        </w:rPr>
      </w:pPr>
      <w:r w:rsidRPr="00D405D7">
        <w:rPr>
          <w:b/>
          <w:u w:val="single"/>
          <w:lang w:eastAsia="en-US"/>
        </w:rPr>
        <w:lastRenderedPageBreak/>
        <w:t>Изисквания на възложителя</w:t>
      </w:r>
      <w:r>
        <w:rPr>
          <w:b/>
          <w:lang w:eastAsia="en-US"/>
        </w:rPr>
        <w:t>: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val="en-US"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представят списък на издателствата, с които работят</w:t>
      </w:r>
      <w:r w:rsidRPr="00D405D7">
        <w:rPr>
          <w:rFonts w:eastAsia="Calibri"/>
          <w:szCs w:val="24"/>
          <w:lang w:val="en-US" w:eastAsia="en-US"/>
        </w:rPr>
        <w:t>;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 xml:space="preserve">В случай на промяна на адресите за електронен достъп, посочени в Техническа спецификация № 1 и допълнителните приложения, избраният изпълнител трябва да осигурява достъп до електронните ресурси и на тези нови адреси; 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предоставят възможност за рекламации за липси, дефекти или временно спиране на електронния достъп до изданието и да предоставят навременна информация в случай, че някое от изданията, посочени в списъка по съответната обособена позиция, е изцяло спряно от излизане;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разполагат с организационни възможности за извършване на допълнителни абонаменти текущо през годината;</w:t>
      </w:r>
    </w:p>
    <w:p w:rsidR="00D405D7" w:rsidRPr="00D405D7" w:rsidRDefault="00D405D7" w:rsidP="00D405D7">
      <w:pPr>
        <w:pStyle w:val="ListParagraph"/>
        <w:numPr>
          <w:ilvl w:val="0"/>
          <w:numId w:val="9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Избраният изпълнител трябва да осигури необходимите технически условия и предпоставки за осигуряване на постоянен достъп до съдържанието на чуждестранни специализирани електронни списания през порталите на различни бази данни, а именно: актуален електронен адрес за достъп до изданието, действаща парола за достъп през предварително създаден акаунт на името на потребителя, гарантирана IP-идентификация за достъп до електронно съдържание през мрежата на потребителя Българска народна банка, както и да осигури правомерността на достъпа чрез предварително уредени лицензионни отношения с разпространителя/издателя на специализираните издания (съгласно указанот</w:t>
      </w:r>
      <w:r w:rsidR="000E096B">
        <w:rPr>
          <w:rFonts w:eastAsia="Calibri"/>
          <w:szCs w:val="24"/>
          <w:lang w:eastAsia="en-US"/>
        </w:rPr>
        <w:t>о в Техническа спецификация № 1</w:t>
      </w:r>
      <w:r w:rsidRPr="00D405D7">
        <w:rPr>
          <w:rFonts w:eastAsia="Calibri"/>
          <w:szCs w:val="24"/>
          <w:lang w:eastAsia="en-US"/>
        </w:rPr>
        <w:t>);</w:t>
      </w:r>
    </w:p>
    <w:p w:rsidR="00D405D7" w:rsidRDefault="00D405D7" w:rsidP="00D405D7">
      <w:pPr>
        <w:pStyle w:val="ListParagraph"/>
        <w:numPr>
          <w:ilvl w:val="0"/>
          <w:numId w:val="9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При необходимост избраният изпълнител да разполага с възможности за предоставяне на информация за оказване на помощ за работа със специализиран софтуер и неговите евентуални актуализации.</w:t>
      </w:r>
    </w:p>
    <w:p w:rsidR="00D94091" w:rsidRDefault="00D94091" w:rsidP="00D94091">
      <w:pPr>
        <w:pStyle w:val="ListParagraph"/>
        <w:ind w:firstLine="0"/>
        <w:rPr>
          <w:rFonts w:eastAsia="Calibri"/>
          <w:szCs w:val="24"/>
          <w:lang w:eastAsia="en-US"/>
        </w:rPr>
      </w:pPr>
    </w:p>
    <w:p w:rsidR="004D3513" w:rsidRDefault="000A0704" w:rsidP="0059253C">
      <w:pPr>
        <w:pStyle w:val="Iaeeiiaaaao"/>
        <w:spacing w:before="0"/>
      </w:pPr>
      <w:r w:rsidRPr="000D3BE3">
        <w:t>Забележка</w:t>
      </w:r>
      <w:r>
        <w:t>: на участника, избран за изпълнител</w:t>
      </w:r>
      <w:r w:rsidR="004279A1">
        <w:t>, при подписване на договора за обществена поръчка, ще бъде предоставен Списък с: а</w:t>
      </w:r>
      <w:r w:rsidR="004279A1" w:rsidRPr="000D3BE3">
        <w:t xml:space="preserve">) </w:t>
      </w:r>
      <w:r w:rsidR="004279A1">
        <w:t xml:space="preserve">актуалните </w:t>
      </w:r>
      <w:r w:rsidR="004279A1" w:rsidRPr="000D3BE3">
        <w:t>IP</w:t>
      </w:r>
      <w:r w:rsidR="004279A1">
        <w:t xml:space="preserve"> адреси на БНБ при осигуряване на активен достъп до електронно съдържание на дадено издание чрез </w:t>
      </w:r>
      <w:r w:rsidR="004279A1" w:rsidRPr="000D3BE3">
        <w:t>IP</w:t>
      </w:r>
      <w:r w:rsidR="004279A1">
        <w:t>-идентификация през информационното мрежово пространство на възложителя и б</w:t>
      </w:r>
      <w:r w:rsidR="004279A1" w:rsidRPr="000D3BE3">
        <w:t>)</w:t>
      </w:r>
      <w:r w:rsidR="004279A1">
        <w:t xml:space="preserve"> потребителските имена с пароли к</w:t>
      </w:r>
      <w:r w:rsidR="00670679">
        <w:t>ъм тях, съобразно Приложение № 1</w:t>
      </w:r>
      <w:r w:rsidR="004279A1">
        <w:t>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  <w:r w:rsidR="004279A1">
        <w:rPr>
          <w:b/>
        </w:rPr>
        <w:t xml:space="preserve"> </w:t>
      </w:r>
      <w:r w:rsidR="004279A1">
        <w:t>Възложителят се задължава писмено да уведомява избрания за изпълнител участник</w:t>
      </w:r>
      <w:r w:rsidR="004279A1">
        <w:rPr>
          <w:b/>
        </w:rPr>
        <w:t xml:space="preserve"> </w:t>
      </w:r>
      <w:r w:rsidR="004279A1">
        <w:t>за извършени промени в списъка.</w:t>
      </w:r>
      <w:bookmarkStart w:id="0" w:name="_GoBack"/>
      <w:bookmarkEnd w:id="0"/>
    </w:p>
    <w:sectPr w:rsidR="004D3513" w:rsidSect="004279A1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B5E" w:rsidRDefault="00D73B5E">
      <w:pPr>
        <w:spacing w:before="0" w:line="240" w:lineRule="auto"/>
      </w:pPr>
      <w:r>
        <w:separator/>
      </w:r>
    </w:p>
  </w:endnote>
  <w:endnote w:type="continuationSeparator" w:id="0">
    <w:p w:rsidR="00D73B5E" w:rsidRDefault="00D73B5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E9A" w:rsidRDefault="007F39F5">
    <w:pPr>
      <w:pStyle w:val="Footer"/>
      <w:jc w:val="right"/>
    </w:pPr>
    <w:r>
      <w:fldChar w:fldCharType="begin"/>
    </w:r>
    <w:r w:rsidR="000A0704">
      <w:instrText xml:space="preserve"> PAGE   \* MERGEFORMAT </w:instrText>
    </w:r>
    <w:r>
      <w:fldChar w:fldCharType="separate"/>
    </w:r>
    <w:r w:rsidR="0088312B">
      <w:rPr>
        <w:noProof/>
      </w:rPr>
      <w:t>3</w:t>
    </w:r>
    <w:r>
      <w:rPr>
        <w:noProof/>
      </w:rPr>
      <w:fldChar w:fldCharType="end"/>
    </w:r>
  </w:p>
  <w:p w:rsidR="00CE6E9A" w:rsidRDefault="00D73B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B5E" w:rsidRDefault="00D73B5E">
      <w:pPr>
        <w:spacing w:before="0" w:line="240" w:lineRule="auto"/>
      </w:pPr>
      <w:r>
        <w:separator/>
      </w:r>
    </w:p>
  </w:footnote>
  <w:footnote w:type="continuationSeparator" w:id="0">
    <w:p w:rsidR="00D73B5E" w:rsidRDefault="00D73B5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03" w:rsidRDefault="009D0B03">
    <w:pPr>
      <w:pStyle w:val="Header"/>
    </w:pPr>
  </w:p>
  <w:p w:rsidR="009D0B03" w:rsidRDefault="009D0B03">
    <w:pPr>
      <w:pStyle w:val="Header"/>
    </w:pPr>
    <w:r>
      <w:t xml:space="preserve">                                                                                                                    Приложение № 1</w:t>
    </w:r>
  </w:p>
  <w:p w:rsidR="00670679" w:rsidRDefault="006706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04AF"/>
    <w:multiLevelType w:val="hybridMultilevel"/>
    <w:tmpl w:val="11AC5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45BF2"/>
    <w:multiLevelType w:val="hybridMultilevel"/>
    <w:tmpl w:val="8C3C831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676FB"/>
    <w:multiLevelType w:val="hybridMultilevel"/>
    <w:tmpl w:val="491C1D18"/>
    <w:lvl w:ilvl="0" w:tplc="040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2905391"/>
    <w:multiLevelType w:val="hybridMultilevel"/>
    <w:tmpl w:val="038EB8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8497F"/>
    <w:multiLevelType w:val="hybridMultilevel"/>
    <w:tmpl w:val="C4A447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84B26"/>
    <w:multiLevelType w:val="hybridMultilevel"/>
    <w:tmpl w:val="827E7D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704"/>
    <w:rsid w:val="00001761"/>
    <w:rsid w:val="000061B2"/>
    <w:rsid w:val="00014123"/>
    <w:rsid w:val="00036611"/>
    <w:rsid w:val="00091D9B"/>
    <w:rsid w:val="000A0704"/>
    <w:rsid w:val="000B11DA"/>
    <w:rsid w:val="000D2515"/>
    <w:rsid w:val="000D367F"/>
    <w:rsid w:val="000D3BE3"/>
    <w:rsid w:val="000E096B"/>
    <w:rsid w:val="000F1CBB"/>
    <w:rsid w:val="000F7B1F"/>
    <w:rsid w:val="00107259"/>
    <w:rsid w:val="00115F80"/>
    <w:rsid w:val="00134C69"/>
    <w:rsid w:val="001D4E23"/>
    <w:rsid w:val="001D5A2C"/>
    <w:rsid w:val="001E1F6E"/>
    <w:rsid w:val="001E734A"/>
    <w:rsid w:val="001F1BAA"/>
    <w:rsid w:val="00204412"/>
    <w:rsid w:val="002118A1"/>
    <w:rsid w:val="0023626F"/>
    <w:rsid w:val="00247485"/>
    <w:rsid w:val="002B7D8C"/>
    <w:rsid w:val="00306632"/>
    <w:rsid w:val="0032053B"/>
    <w:rsid w:val="00331C03"/>
    <w:rsid w:val="0034082C"/>
    <w:rsid w:val="00347A17"/>
    <w:rsid w:val="003549CC"/>
    <w:rsid w:val="003B76F2"/>
    <w:rsid w:val="003D5E55"/>
    <w:rsid w:val="004065AE"/>
    <w:rsid w:val="004212BA"/>
    <w:rsid w:val="004279A1"/>
    <w:rsid w:val="00451C71"/>
    <w:rsid w:val="004870E9"/>
    <w:rsid w:val="004963AD"/>
    <w:rsid w:val="004B078C"/>
    <w:rsid w:val="004D3513"/>
    <w:rsid w:val="004E1654"/>
    <w:rsid w:val="004F5D5A"/>
    <w:rsid w:val="00506619"/>
    <w:rsid w:val="005072FF"/>
    <w:rsid w:val="00536CD3"/>
    <w:rsid w:val="005451A9"/>
    <w:rsid w:val="005618D6"/>
    <w:rsid w:val="00571CF2"/>
    <w:rsid w:val="0059253C"/>
    <w:rsid w:val="005A027D"/>
    <w:rsid w:val="005A4731"/>
    <w:rsid w:val="005A49B4"/>
    <w:rsid w:val="005A758C"/>
    <w:rsid w:val="006374E8"/>
    <w:rsid w:val="00643EF2"/>
    <w:rsid w:val="00656DCB"/>
    <w:rsid w:val="00670679"/>
    <w:rsid w:val="00685A3A"/>
    <w:rsid w:val="006E2408"/>
    <w:rsid w:val="006E7017"/>
    <w:rsid w:val="00721FED"/>
    <w:rsid w:val="00746404"/>
    <w:rsid w:val="00753129"/>
    <w:rsid w:val="00785ECE"/>
    <w:rsid w:val="00790846"/>
    <w:rsid w:val="00793E40"/>
    <w:rsid w:val="007B39C0"/>
    <w:rsid w:val="007F39F5"/>
    <w:rsid w:val="00811AA1"/>
    <w:rsid w:val="008123C6"/>
    <w:rsid w:val="00841A6F"/>
    <w:rsid w:val="0088312B"/>
    <w:rsid w:val="00894115"/>
    <w:rsid w:val="008B17EF"/>
    <w:rsid w:val="008D0196"/>
    <w:rsid w:val="008E04FF"/>
    <w:rsid w:val="008F6326"/>
    <w:rsid w:val="00922991"/>
    <w:rsid w:val="009311F7"/>
    <w:rsid w:val="00960CA4"/>
    <w:rsid w:val="00961FE7"/>
    <w:rsid w:val="009A34D3"/>
    <w:rsid w:val="009B5659"/>
    <w:rsid w:val="009D0B03"/>
    <w:rsid w:val="00A0528B"/>
    <w:rsid w:val="00A15AD1"/>
    <w:rsid w:val="00A27951"/>
    <w:rsid w:val="00A36058"/>
    <w:rsid w:val="00A760A7"/>
    <w:rsid w:val="00A955AB"/>
    <w:rsid w:val="00AA1A31"/>
    <w:rsid w:val="00AA21B0"/>
    <w:rsid w:val="00AB64D6"/>
    <w:rsid w:val="00AC242D"/>
    <w:rsid w:val="00AE2793"/>
    <w:rsid w:val="00AF14D2"/>
    <w:rsid w:val="00B20F01"/>
    <w:rsid w:val="00B21318"/>
    <w:rsid w:val="00B23D05"/>
    <w:rsid w:val="00B7442A"/>
    <w:rsid w:val="00BA0256"/>
    <w:rsid w:val="00BA3650"/>
    <w:rsid w:val="00BA69FA"/>
    <w:rsid w:val="00BD567F"/>
    <w:rsid w:val="00C12E73"/>
    <w:rsid w:val="00C33B54"/>
    <w:rsid w:val="00C44118"/>
    <w:rsid w:val="00C74811"/>
    <w:rsid w:val="00C976A1"/>
    <w:rsid w:val="00CA0FB9"/>
    <w:rsid w:val="00CA49CA"/>
    <w:rsid w:val="00CA590D"/>
    <w:rsid w:val="00CB071E"/>
    <w:rsid w:val="00CB0DD5"/>
    <w:rsid w:val="00CD5E1C"/>
    <w:rsid w:val="00CF5D00"/>
    <w:rsid w:val="00D34012"/>
    <w:rsid w:val="00D405D7"/>
    <w:rsid w:val="00D73B5E"/>
    <w:rsid w:val="00D94091"/>
    <w:rsid w:val="00E0349A"/>
    <w:rsid w:val="00E23184"/>
    <w:rsid w:val="00E23E6F"/>
    <w:rsid w:val="00E32098"/>
    <w:rsid w:val="00E56303"/>
    <w:rsid w:val="00E81D43"/>
    <w:rsid w:val="00E9451E"/>
    <w:rsid w:val="00EA5AAA"/>
    <w:rsid w:val="00EA6D8D"/>
    <w:rsid w:val="00EC0E2B"/>
    <w:rsid w:val="00F11268"/>
    <w:rsid w:val="00F219B1"/>
    <w:rsid w:val="00F3608A"/>
    <w:rsid w:val="00F7300E"/>
    <w:rsid w:val="00F81604"/>
    <w:rsid w:val="00F81FA7"/>
    <w:rsid w:val="00F91C4E"/>
    <w:rsid w:val="00FA5747"/>
    <w:rsid w:val="00FC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8BD530-AB32-472B-94A3-06EC59E7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70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0A0704"/>
  </w:style>
  <w:style w:type="paragraph" w:styleId="Footer">
    <w:name w:val="footer"/>
    <w:basedOn w:val="Header"/>
    <w:link w:val="FooterChar"/>
    <w:uiPriority w:val="99"/>
    <w:rsid w:val="000A0704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A0704"/>
    <w:rPr>
      <w:rFonts w:ascii="Times New Roman" w:eastAsia="Times New Roman" w:hAnsi="Times New Roman" w:cs="Times New Roman"/>
      <w:i/>
      <w:szCs w:val="20"/>
      <w:lang w:eastAsia="bg-BG"/>
    </w:rPr>
  </w:style>
  <w:style w:type="character" w:styleId="CommentReference">
    <w:name w:val="annotation reference"/>
    <w:rsid w:val="000A07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7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07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A0704"/>
    <w:rPr>
      <w:color w:val="0000FF"/>
      <w:u w:val="single"/>
    </w:rPr>
  </w:style>
  <w:style w:type="paragraph" w:customStyle="1" w:styleId="Iaeeiiaaaao">
    <w:name w:val="Iaeei. ia?aa?ao"/>
    <w:basedOn w:val="Normal"/>
    <w:rsid w:val="000A0704"/>
  </w:style>
  <w:style w:type="paragraph" w:customStyle="1" w:styleId="a0">
    <w:name w:val="Îáèêí. ïàðàãðàô"/>
    <w:basedOn w:val="Normal"/>
    <w:rsid w:val="000A0704"/>
  </w:style>
  <w:style w:type="paragraph" w:styleId="Header">
    <w:name w:val="header"/>
    <w:basedOn w:val="Normal"/>
    <w:link w:val="HeaderChar"/>
    <w:uiPriority w:val="99"/>
    <w:unhideWhenUsed/>
    <w:rsid w:val="000A070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0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0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33B5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5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Виолина Стойнева</cp:lastModifiedBy>
  <cp:revision>27</cp:revision>
  <cp:lastPrinted>2016-10-26T08:40:00Z</cp:lastPrinted>
  <dcterms:created xsi:type="dcterms:W3CDTF">2019-05-21T12:03:00Z</dcterms:created>
  <dcterms:modified xsi:type="dcterms:W3CDTF">2019-11-12T09:41:00Z</dcterms:modified>
</cp:coreProperties>
</file>