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 xml:space="preserve">БНБ-36859/01.04.2019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3C6368" w:rsidRDefault="0078301B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>„</w:t>
      </w:r>
      <w:r w:rsidR="008471B0" w:rsidRPr="007A265C">
        <w:rPr>
          <w:rFonts w:eastAsia="Calibri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CA69F8" w:rsidRPr="00DC2E5D">
        <w:rPr>
          <w:b/>
          <w:color w:val="000000"/>
          <w:sz w:val="24"/>
          <w:szCs w:val="24"/>
        </w:rPr>
        <w:t>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4B6A64">
        <w:rPr>
          <w:sz w:val="24"/>
          <w:szCs w:val="24"/>
        </w:rPr>
        <w:t>и Решение № </w:t>
      </w:r>
      <w:r w:rsidR="007A265C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>………/…………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</w:t>
      </w:r>
      <w:r w:rsidR="008471B0">
        <w:rPr>
          <w:sz w:val="24"/>
          <w:szCs w:val="24"/>
        </w:rPr>
        <w:t>С</w:t>
      </w:r>
      <w:r w:rsidR="00CA69F8" w:rsidRPr="00A204C0">
        <w:rPr>
          <w:sz w:val="24"/>
          <w:szCs w:val="24"/>
        </w:rPr>
        <w:t xml:space="preserve">истемата” или „функционално развитие“) към </w:t>
      </w:r>
      <w:r w:rsidR="008471B0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8471B0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CA69F8">
        <w:rPr>
          <w:sz w:val="24"/>
          <w:szCs w:val="24"/>
        </w:rPr>
        <w:t xml:space="preserve"> (Системата)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CA69F8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2D573F">
        <w:rPr>
          <w:sz w:val="24"/>
          <w:szCs w:val="24"/>
        </w:rPr>
        <w:t>Техническа спецификация за абонаментно обслужване и функционално развитие на</w:t>
      </w:r>
      <w:r w:rsidR="008471B0" w:rsidRPr="002D573F">
        <w:rPr>
          <w:sz w:val="24"/>
          <w:szCs w:val="24"/>
        </w:rPr>
        <w:t xml:space="preserve"> </w:t>
      </w:r>
      <w:r w:rsidR="008471B0" w:rsidRPr="0050584A">
        <w:rPr>
          <w:sz w:val="24"/>
          <w:szCs w:val="24"/>
        </w:rPr>
        <w:t>„Интегрираната информационна система за финансовите пазари и ЗМР в БНБ“</w:t>
      </w:r>
      <w:r w:rsidRPr="0050584A">
        <w:rPr>
          <w:sz w:val="24"/>
          <w:szCs w:val="24"/>
        </w:rPr>
        <w:t>– Приложение № 1;</w:t>
      </w:r>
    </w:p>
    <w:p w:rsidR="0050584A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Системата. Технически характеристики“ – Приложение № 1.1.;</w:t>
      </w:r>
    </w:p>
    <w:p w:rsidR="002D573F" w:rsidRPr="0050584A" w:rsidRDefault="002D573F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50584A">
        <w:rPr>
          <w:sz w:val="24"/>
          <w:szCs w:val="24"/>
        </w:rPr>
        <w:t>„Описание на дейностите, включени в обществената поръчка в частта за функционално развитие“ – Приложение № 1.2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bookmarkStart w:id="0" w:name="_GoBack"/>
      <w:bookmarkEnd w:id="0"/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9A193F">
        <w:rPr>
          <w:b/>
          <w:bCs/>
          <w:sz w:val="24"/>
          <w:szCs w:val="24"/>
        </w:rPr>
        <w:t>а.</w:t>
      </w:r>
      <w:r w:rsidRPr="009A193F">
        <w:rPr>
          <w:sz w:val="24"/>
          <w:szCs w:val="24"/>
        </w:rPr>
        <w:t xml:space="preserve"> (1) В случай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чуждестранно лице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по договора е местно лице.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9A193F">
        <w:rPr>
          <w:sz w:val="24"/>
          <w:szCs w:val="24"/>
        </w:rPr>
        <w:t xml:space="preserve"> от този договор,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се задължава да представи следните документи за </w:t>
      </w:r>
      <w:r w:rsidRPr="009A193F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9A193F">
        <w:rPr>
          <w:b/>
          <w:bCs/>
          <w:sz w:val="24"/>
          <w:szCs w:val="24"/>
        </w:rPr>
        <w:t xml:space="preserve">ИЗПЪЛНИТЕЛЯТ </w:t>
      </w:r>
      <w:r w:rsidRPr="009A193F">
        <w:rPr>
          <w:sz w:val="24"/>
          <w:szCs w:val="24"/>
        </w:rPr>
        <w:t>по договора е местно лице: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9A193F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9A193F">
      <w:pPr>
        <w:spacing w:line="360" w:lineRule="auto"/>
        <w:ind w:right="44" w:firstLine="709"/>
        <w:jc w:val="both"/>
        <w:rPr>
          <w:sz w:val="24"/>
          <w:szCs w:val="24"/>
        </w:rPr>
      </w:pPr>
      <w:r w:rsidRPr="009A193F">
        <w:rPr>
          <w:sz w:val="24"/>
          <w:szCs w:val="24"/>
        </w:rPr>
        <w:t xml:space="preserve">3. удостоверение </w:t>
      </w:r>
      <w:r w:rsidR="006106B9">
        <w:rPr>
          <w:sz w:val="24"/>
          <w:szCs w:val="24"/>
        </w:rPr>
        <w:t xml:space="preserve">за </w:t>
      </w:r>
      <w:r>
        <w:rPr>
          <w:sz w:val="24"/>
          <w:szCs w:val="24"/>
        </w:rPr>
        <w:t>съответната година</w:t>
      </w:r>
      <w:r w:rsidRPr="009A193F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9A193F">
        <w:rPr>
          <w:b/>
          <w:bCs/>
          <w:sz w:val="24"/>
          <w:szCs w:val="24"/>
        </w:rPr>
        <w:t>ИЗПЪЛНИТЕЛЯТ</w:t>
      </w:r>
      <w:r w:rsidRPr="009A193F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</w:t>
      </w:r>
      <w:r w:rsidRPr="008F40DB">
        <w:rPr>
          <w:sz w:val="24"/>
          <w:szCs w:val="24"/>
        </w:rPr>
        <w:lastRenderedPageBreak/>
        <w:t xml:space="preserve">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925D64">
        <w:rPr>
          <w:sz w:val="24"/>
          <w:szCs w:val="24"/>
        </w:rPr>
        <w:t>Системата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lastRenderedPageBreak/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proofErr w:type="spellStart"/>
      <w:r w:rsidRPr="0015021F">
        <w:rPr>
          <w:b/>
          <w:sz w:val="24"/>
          <w:szCs w:val="24"/>
        </w:rPr>
        <w:t>Direct</w:t>
      </w:r>
      <w:proofErr w:type="spellEnd"/>
      <w:r w:rsidRPr="0015021F">
        <w:rPr>
          <w:b/>
          <w:sz w:val="24"/>
          <w:szCs w:val="24"/>
        </w:rPr>
        <w:t xml:space="preserve"> </w:t>
      </w:r>
      <w:proofErr w:type="spellStart"/>
      <w:r w:rsidRPr="0015021F">
        <w:rPr>
          <w:b/>
          <w:sz w:val="24"/>
          <w:szCs w:val="24"/>
        </w:rPr>
        <w:t>to</w:t>
      </w:r>
      <w:proofErr w:type="spellEnd"/>
      <w:r w:rsidRPr="0015021F">
        <w:rPr>
          <w:b/>
          <w:sz w:val="24"/>
          <w:szCs w:val="24"/>
        </w:rPr>
        <w:t xml:space="preserve"> BNBGBGSF </w:t>
      </w:r>
      <w:proofErr w:type="spellStart"/>
      <w:r w:rsidRPr="0015021F">
        <w:rPr>
          <w:b/>
          <w:sz w:val="24"/>
          <w:szCs w:val="24"/>
        </w:rPr>
        <w:t>via</w:t>
      </w:r>
      <w:proofErr w:type="spellEnd"/>
      <w:r w:rsidRPr="0015021F">
        <w:rPr>
          <w:b/>
          <w:sz w:val="24"/>
          <w:szCs w:val="24"/>
        </w:rPr>
        <w:t xml:space="preserve">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proofErr w:type="spellStart"/>
      <w:r>
        <w:rPr>
          <w:b/>
          <w:sz w:val="24"/>
          <w:szCs w:val="24"/>
        </w:rPr>
        <w:t>Чл</w:t>
      </w:r>
      <w:proofErr w:type="spellEnd"/>
      <w:r>
        <w:rPr>
          <w:b/>
          <w:sz w:val="24"/>
          <w:szCs w:val="24"/>
        </w:rPr>
        <w:t xml:space="preserve">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</w:t>
      </w:r>
      <w:proofErr w:type="spellStart"/>
      <w:r w:rsidR="00A43EDD" w:rsidRPr="008F40DB">
        <w:rPr>
          <w:color w:val="000000"/>
          <w:spacing w:val="1"/>
          <w:sz w:val="24"/>
          <w:szCs w:val="24"/>
        </w:rPr>
        <w:t>бенефициер</w:t>
      </w:r>
      <w:proofErr w:type="spellEnd"/>
      <w:r w:rsidR="00A43EDD" w:rsidRPr="008F40DB">
        <w:rPr>
          <w:color w:val="000000"/>
          <w:spacing w:val="1"/>
          <w:sz w:val="24"/>
          <w:szCs w:val="24"/>
        </w:rPr>
        <w:t>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</w:t>
      </w:r>
      <w:r w:rsidR="00A43EDD" w:rsidRPr="00FC6DDA">
        <w:rPr>
          <w:color w:val="000000"/>
          <w:spacing w:val="1"/>
          <w:sz w:val="24"/>
          <w:szCs w:val="24"/>
          <w:lang w:val="ru-RU"/>
        </w:rPr>
        <w:lastRenderedPageBreak/>
        <w:t xml:space="preserve">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</w:t>
      </w:r>
      <w:r w:rsidRPr="008F40DB">
        <w:rPr>
          <w:spacing w:val="1"/>
          <w:sz w:val="24"/>
          <w:szCs w:val="24"/>
        </w:rPr>
        <w:lastRenderedPageBreak/>
        <w:t xml:space="preserve">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</w:t>
      </w:r>
      <w:r w:rsidRPr="008F40DB">
        <w:rPr>
          <w:sz w:val="24"/>
          <w:szCs w:val="24"/>
        </w:rPr>
        <w:lastRenderedPageBreak/>
        <w:t xml:space="preserve">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925D64">
        <w:rPr>
          <w:sz w:val="24"/>
          <w:szCs w:val="24"/>
        </w:rPr>
        <w:t>Системата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рамковото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2E0790" w:rsidRPr="00DC2E5D">
        <w:rPr>
          <w:sz w:val="24"/>
          <w:szCs w:val="24"/>
        </w:rPr>
        <w:t xml:space="preserve">Техническа спецификация за абонаментно обслужване и функционално развитие на </w:t>
      </w:r>
      <w:r w:rsidR="001E5FAF">
        <w:rPr>
          <w:rFonts w:eastAsia="Calibri"/>
          <w:color w:val="000000" w:themeColor="text1"/>
          <w:sz w:val="24"/>
          <w:szCs w:val="24"/>
        </w:rPr>
        <w:t>„</w:t>
      </w:r>
      <w:r w:rsidR="001E5FAF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1E5FAF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1E5FAF">
        <w:rPr>
          <w:rFonts w:eastAsia="Calibri"/>
          <w:color w:val="000000" w:themeColor="text1"/>
          <w:sz w:val="24"/>
          <w:szCs w:val="24"/>
        </w:rPr>
        <w:t>“</w:t>
      </w:r>
      <w:r w:rsidR="002E0790" w:rsidRPr="00DC2E5D">
        <w:rPr>
          <w:sz w:val="24"/>
          <w:szCs w:val="24"/>
        </w:rPr>
        <w:t xml:space="preserve"> 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>от рамковото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при условие, че увеличението в цената за абонаментно обслужване </w:t>
      </w:r>
      <w:r w:rsidR="00D47D23" w:rsidRPr="00EB098C">
        <w:rPr>
          <w:sz w:val="24"/>
          <w:szCs w:val="24"/>
          <w:lang w:val="ru-RU"/>
        </w:rPr>
        <w:t xml:space="preserve">съгласно чл. 7 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 xml:space="preserve">поразумението </w:t>
      </w:r>
      <w:r w:rsidRPr="00EB098C">
        <w:rPr>
          <w:sz w:val="24"/>
          <w:szCs w:val="24"/>
          <w:lang w:val="ru-RU"/>
        </w:rPr>
        <w:t xml:space="preserve">не води до надвишаване максималната стойност на договора за абонаментно обслужване съответно на </w:t>
      </w:r>
      <w:r w:rsidRPr="00007C5C">
        <w:rPr>
          <w:sz w:val="24"/>
          <w:szCs w:val="24"/>
          <w:lang w:val="ru-RU"/>
        </w:rPr>
        <w:t xml:space="preserve">рамковото споразумение. </w:t>
      </w:r>
    </w:p>
    <w:p w:rsidR="00D47D23" w:rsidRPr="00B72F11" w:rsidRDefault="00ED67CE" w:rsidP="00944D7D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r w:rsidR="00D47D23" w:rsidRPr="00B72F11">
        <w:rPr>
          <w:sz w:val="24"/>
          <w:szCs w:val="24"/>
          <w:lang w:val="ru-RU"/>
        </w:rPr>
        <w:t>Увеличението в цената на абонаментното обслужване</w:t>
      </w:r>
      <w:r w:rsidR="00355C09" w:rsidRPr="00B72F11">
        <w:rPr>
          <w:sz w:val="24"/>
          <w:szCs w:val="24"/>
          <w:lang w:val="ru-RU"/>
        </w:rPr>
        <w:t>, в резултат на  извършените съгласно този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определя на годишна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стойността на съответната актуализация в лева, без ДДС. Това увеличение като процент се посочва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писменото искане на основание чл. 4 от споразумението, а окончателната сума, с която ще се увеличи цената на абонаментното обслужване се посочва в приемателно-предават</w:t>
      </w:r>
      <w:r w:rsidRPr="00B72F11">
        <w:rPr>
          <w:sz w:val="24"/>
          <w:szCs w:val="24"/>
          <w:lang w:val="ru-RU"/>
        </w:rPr>
        <w:t xml:space="preserve">елния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настоящия договор п</w:t>
      </w:r>
      <w:r w:rsidRPr="00B72F11">
        <w:rPr>
          <w:sz w:val="24"/>
          <w:szCs w:val="24"/>
          <w:lang w:val="ru-RU"/>
        </w:rPr>
        <w:t>ри спазване на следните</w:t>
      </w:r>
      <w:r w:rsidR="00D47D23" w:rsidRPr="00B72F11">
        <w:rPr>
          <w:sz w:val="24"/>
          <w:szCs w:val="24"/>
          <w:lang w:val="ru-RU"/>
        </w:rPr>
        <w:t xml:space="preserve"> стойности и условия</w:t>
      </w:r>
      <w:r w:rsidRPr="00B72F11">
        <w:rPr>
          <w:sz w:val="24"/>
          <w:szCs w:val="24"/>
          <w:lang w:val="ru-RU"/>
        </w:rPr>
        <w:t xml:space="preserve"> в зависимост от естеството на възложените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на </w:t>
      </w:r>
      <w:r w:rsidR="002B712A" w:rsidRPr="002B712A">
        <w:rPr>
          <w:sz w:val="24"/>
          <w:szCs w:val="24"/>
          <w:lang w:val="ru-RU"/>
        </w:rPr>
        <w:t xml:space="preserve"> </w:t>
      </w:r>
      <w:r w:rsidR="00925D64">
        <w:rPr>
          <w:sz w:val="24"/>
          <w:szCs w:val="24"/>
        </w:rPr>
        <w:lastRenderedPageBreak/>
        <w:t>Системата</w:t>
      </w:r>
      <w:r w:rsidRPr="00B72F11">
        <w:rPr>
          <w:sz w:val="24"/>
          <w:szCs w:val="24"/>
        </w:rPr>
        <w:t xml:space="preserve"> 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</w:t>
      </w:r>
      <w:proofErr w:type="spellStart"/>
      <w:r w:rsidRPr="00B72F11">
        <w:rPr>
          <w:sz w:val="24"/>
          <w:szCs w:val="24"/>
        </w:rPr>
        <w:t>неизискващи</w:t>
      </w:r>
      <w:proofErr w:type="spellEnd"/>
      <w:r w:rsidRPr="00B72F11">
        <w:rPr>
          <w:sz w:val="24"/>
          <w:szCs w:val="24"/>
        </w:rPr>
        <w:t xml:space="preserve">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</w:t>
      </w:r>
      <w:r w:rsidR="002E0790">
        <w:rPr>
          <w:sz w:val="24"/>
          <w:szCs w:val="24"/>
          <w:lang w:val="ru-RU"/>
        </w:rPr>
        <w:t>Р</w:t>
      </w:r>
      <w:r w:rsidRPr="00B72F11">
        <w:rPr>
          <w:sz w:val="24"/>
          <w:szCs w:val="24"/>
        </w:rPr>
        <w:t xml:space="preserve">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алгоритми и/или архитектурата на </w:t>
      </w:r>
      <w:r w:rsidR="00925D64">
        <w:rPr>
          <w:sz w:val="24"/>
          <w:szCs w:val="24"/>
        </w:rPr>
        <w:t>Системата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на </w:t>
      </w:r>
      <w:proofErr w:type="spellStart"/>
      <w:r w:rsidRPr="00B72F11">
        <w:rPr>
          <w:sz w:val="24"/>
          <w:szCs w:val="24"/>
        </w:rPr>
        <w:t>автентикация</w:t>
      </w:r>
      <w:proofErr w:type="spellEnd"/>
      <w:r w:rsidRPr="00B72F11">
        <w:rPr>
          <w:sz w:val="24"/>
          <w:szCs w:val="24"/>
        </w:rPr>
        <w:t xml:space="preserve">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но предлагащи изцяло нова функционалност, </w:t>
      </w:r>
      <w:proofErr w:type="spellStart"/>
      <w:r w:rsidRPr="00B72F11">
        <w:rPr>
          <w:sz w:val="24"/>
          <w:szCs w:val="24"/>
        </w:rPr>
        <w:t>несъществувала</w:t>
      </w:r>
      <w:proofErr w:type="spellEnd"/>
      <w:r w:rsidRPr="00B72F11">
        <w:rPr>
          <w:sz w:val="24"/>
          <w:szCs w:val="24"/>
        </w:rPr>
        <w:t xml:space="preserve">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.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2D573F" w:rsidRPr="002D573F">
        <w:rPr>
          <w:sz w:val="24"/>
          <w:szCs w:val="24"/>
        </w:rPr>
        <w:t xml:space="preserve">Техническа спецификация за абонаментно обслужване и функционално развитие на „Интегрираната информационна система за финансовите пазари и ЗМР в БНБ“ и </w:t>
      </w:r>
      <w:r>
        <w:rPr>
          <w:sz w:val="24"/>
          <w:szCs w:val="24"/>
        </w:rPr>
        <w:t>„</w:t>
      </w:r>
      <w:r w:rsidR="002D573F" w:rsidRPr="002D573F">
        <w:rPr>
          <w:sz w:val="24"/>
          <w:szCs w:val="24"/>
        </w:rPr>
        <w:t xml:space="preserve">Описание на дейностите, включени в обществената поръчка в частта за функционално развитие“ – </w:t>
      </w:r>
      <w:r w:rsidR="002D573F">
        <w:rPr>
          <w:sz w:val="24"/>
          <w:szCs w:val="24"/>
        </w:rPr>
        <w:t xml:space="preserve"> приложения към </w:t>
      </w:r>
      <w:r w:rsidR="00EF4754">
        <w:rPr>
          <w:sz w:val="24"/>
          <w:szCs w:val="24"/>
        </w:rPr>
        <w:t>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lastRenderedPageBreak/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</w:t>
      </w:r>
      <w:r w:rsidR="00F427BD" w:rsidRPr="008F40DB">
        <w:rPr>
          <w:sz w:val="24"/>
          <w:szCs w:val="24"/>
        </w:rPr>
        <w:lastRenderedPageBreak/>
        <w:t xml:space="preserve">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</w:t>
      </w:r>
      <w:proofErr w:type="spellStart"/>
      <w:r w:rsidR="00F427BD" w:rsidRPr="00CF34CD">
        <w:rPr>
          <w:i/>
          <w:sz w:val="24"/>
          <w:szCs w:val="24"/>
        </w:rPr>
        <w:t>подизпълнение</w:t>
      </w:r>
      <w:proofErr w:type="spellEnd"/>
      <w:r w:rsidR="00F427BD" w:rsidRPr="00CF34CD">
        <w:rPr>
          <w:i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lastRenderedPageBreak/>
        <w:t xml:space="preserve">(2) Независимо от сключения договор за </w:t>
      </w:r>
      <w:proofErr w:type="spellStart"/>
      <w:r w:rsidRPr="00CF34CD">
        <w:rPr>
          <w:i/>
          <w:snapToGrid w:val="0"/>
          <w:sz w:val="24"/>
          <w:szCs w:val="24"/>
        </w:rPr>
        <w:t>подизпълнение</w:t>
      </w:r>
      <w:proofErr w:type="spellEnd"/>
      <w:r w:rsidRPr="00CF34CD">
        <w:rPr>
          <w:i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lastRenderedPageBreak/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lastRenderedPageBreak/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lastRenderedPageBreak/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</w:t>
      </w:r>
      <w:r w:rsidR="00F427BD" w:rsidRPr="008F40DB">
        <w:rPr>
          <w:noProof/>
          <w:sz w:val="24"/>
          <w:szCs w:val="24"/>
          <w:lang w:eastAsia="cs-CZ"/>
        </w:rPr>
        <w:lastRenderedPageBreak/>
        <w:t xml:space="preserve">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 xml:space="preserve">траните във връзка с този Договор се извършват в писмена форма и могат да се предават лично или чрез препоръчано писмо, по </w:t>
      </w:r>
      <w:r w:rsidR="00F427BD" w:rsidRPr="008F40DB">
        <w:rPr>
          <w:noProof/>
          <w:sz w:val="24"/>
          <w:szCs w:val="24"/>
          <w:lang w:eastAsia="en-GB"/>
        </w:rPr>
        <w:lastRenderedPageBreak/>
        <w:t>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</w:t>
      </w:r>
      <w:proofErr w:type="spellStart"/>
      <w:r w:rsidRPr="008F40DB">
        <w:rPr>
          <w:sz w:val="24"/>
          <w:szCs w:val="24"/>
        </w:rPr>
        <w:t>mail</w:t>
      </w:r>
      <w:proofErr w:type="spellEnd"/>
      <w:r w:rsidRPr="008F40DB">
        <w:rPr>
          <w:sz w:val="24"/>
          <w:szCs w:val="24"/>
        </w:rPr>
        <w:t xml:space="preserve">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F32A25" w:rsidP="0050584A">
      <w:pPr>
        <w:pStyle w:val="ListParagraph"/>
        <w:numPr>
          <w:ilvl w:val="0"/>
          <w:numId w:val="48"/>
        </w:numPr>
      </w:pPr>
      <w:r w:rsidRPr="003C6368">
        <w:t xml:space="preserve">Техническа спецификация за абонаментно обслужване и функционално развитие на </w:t>
      </w:r>
      <w:r w:rsidR="001E5FAF" w:rsidRPr="003C6368">
        <w:t>„Интегрираната информационна система за финансовите пазари и ЗМР в БНБ</w:t>
      </w:r>
      <w:r w:rsidRPr="003C6368">
        <w:t>“ – Приложение № 1</w:t>
      </w:r>
      <w:r w:rsidR="0050584A">
        <w:rPr>
          <w:lang w:val="bg-BG"/>
        </w:rPr>
        <w:t>;</w:t>
      </w:r>
    </w:p>
    <w:p w:rsidR="0050584A" w:rsidRDefault="0050584A" w:rsidP="0050584A">
      <w:pPr>
        <w:pStyle w:val="ListParagraph"/>
      </w:pPr>
      <w:r w:rsidRPr="0050584A">
        <w:t>Описание на Системата. Технически характеристики“ – Приложение № 1.1.;</w:t>
      </w:r>
    </w:p>
    <w:p w:rsidR="0050584A" w:rsidRPr="001E5FAF" w:rsidRDefault="0050584A" w:rsidP="0050584A">
      <w:pPr>
        <w:pStyle w:val="ListParagraph"/>
      </w:pPr>
      <w:r w:rsidRPr="0050584A">
        <w:t>„Описание на дейностите, включени в обществената поръчка в частта за функционално развитие“ – Приложение № 1.2</w:t>
      </w:r>
      <w:r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E2154E" w:rsidP="0050584A">
      <w:pPr>
        <w:pStyle w:val="ListParagraph"/>
      </w:pPr>
      <w:r w:rsidRPr="00F32A25">
        <w:t>Списък на персонала, който ще изпълнява поръчката.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1B" w:rsidRDefault="00724A1B">
      <w:r>
        <w:separator/>
      </w:r>
    </w:p>
  </w:endnote>
  <w:endnote w:type="continuationSeparator" w:id="0">
    <w:p w:rsidR="00724A1B" w:rsidRDefault="0072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8302C7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1B" w:rsidRDefault="00724A1B">
      <w:r>
        <w:separator/>
      </w:r>
    </w:p>
  </w:footnote>
  <w:footnote w:type="continuationSeparator" w:id="0">
    <w:p w:rsidR="00724A1B" w:rsidRDefault="00724A1B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 xml:space="preserve">1, </w:t>
      </w:r>
      <w:proofErr w:type="spellStart"/>
      <w:r w:rsidRPr="002A63CC">
        <w:t>т.т</w:t>
      </w:r>
      <w:proofErr w:type="spellEnd"/>
      <w:r w:rsidRPr="002A63CC">
        <w:t>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54D2-E272-418E-9641-14EA2A25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7076</Words>
  <Characters>40335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47317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Станислава Стойнева</cp:lastModifiedBy>
  <cp:revision>36</cp:revision>
  <cp:lastPrinted>2019-01-29T13:01:00Z</cp:lastPrinted>
  <dcterms:created xsi:type="dcterms:W3CDTF">2019-05-20T08:05:00Z</dcterms:created>
  <dcterms:modified xsi:type="dcterms:W3CDTF">2019-11-20T08:30:00Z</dcterms:modified>
</cp:coreProperties>
</file>