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4F0855" w:rsidRPr="00850B87" w:rsidRDefault="004F0855" w:rsidP="004F085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за липса на основанията за отстраняване по чл. 54, ал. 1, т. 3-6 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от ЗОП,</w:t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чл. 101, ал. 11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от ЗОП във </w:t>
      </w:r>
      <w:proofErr w:type="spellStart"/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вр</w:t>
      </w:r>
      <w:proofErr w:type="spellEnd"/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. с </w:t>
      </w:r>
      <w:r w:rsidR="00C43397" w:rsidRPr="00850B87">
        <w:rPr>
          <w:rFonts w:ascii="Times New Roman" w:eastAsia="MS ??" w:hAnsi="Times New Roman" w:cs="Times New Roman"/>
          <w:b/>
          <w:bCs/>
          <w:sz w:val="24"/>
          <w:szCs w:val="24"/>
        </w:rPr>
        <w:t xml:space="preserve">§ 1, т.13, б. „а“, б. „б“ и б. „в“ и т. 14 от Допълнителните разпоредби на </w:t>
      </w:r>
      <w:r w:rsidR="00225344">
        <w:rPr>
          <w:rFonts w:ascii="Times New Roman" w:eastAsia="MS ??" w:hAnsi="Times New Roman" w:cs="Times New Roman"/>
          <w:b/>
          <w:bCs/>
          <w:sz w:val="24"/>
          <w:szCs w:val="24"/>
        </w:rPr>
        <w:t>ЗППЦК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,</w:t>
      </w:r>
      <w:r w:rsidR="00B76399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чл. 3, т. 8 ЗИФОДРЮПДРКТЛТДС</w:t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и </w:t>
      </w:r>
      <w:r w:rsidR="00E55457" w:rsidRPr="00850B87">
        <w:rPr>
          <w:rFonts w:ascii="Times New Roman" w:eastAsia="MS ??" w:hAnsi="Times New Roman" w:cs="Times New Roman"/>
          <w:b/>
          <w:sz w:val="24"/>
          <w:szCs w:val="24"/>
        </w:rPr>
        <w:br/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чл. 69, ал. 2 от </w:t>
      </w:r>
      <w:r w:rsidR="00225344">
        <w:rPr>
          <w:rFonts w:ascii="Times New Roman" w:eastAsia="MS ??" w:hAnsi="Times New Roman" w:cs="Times New Roman"/>
          <w:b/>
          <w:sz w:val="24"/>
          <w:szCs w:val="24"/>
        </w:rPr>
        <w:t>ЗПКОНПИ</w:t>
      </w:r>
    </w:p>
    <w:p w:rsidR="004F0855" w:rsidRPr="00C765EE" w:rsidRDefault="004F0855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CD68CE" w:rsidRDefault="00CD68CE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720D94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720D94" w:rsidRPr="00FD76B9" w:rsidRDefault="00720D94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20D94" w:rsidRPr="00F92024" w:rsidRDefault="002B5177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B5177">
              <w:rPr>
                <w:rFonts w:ascii="Times New Roman" w:eastAsia="Calibri" w:hAnsi="Times New Roman" w:cs="Times New Roman"/>
                <w:b/>
              </w:rPr>
              <w:t>„Абонаментно обслужване на информационната система за управление на човешките ресурси и работната заплата в Българската народна банка. “</w:t>
            </w:r>
            <w:bookmarkStart w:id="0" w:name="_GoBack"/>
            <w:bookmarkEnd w:id="0"/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204A34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04A34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04A34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6130F1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6130F1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6130F1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4542"/>
        <w:gridCol w:w="5948"/>
      </w:tblGrid>
      <w:tr w:rsidR="00661589" w:rsidTr="00204A34">
        <w:trPr>
          <w:jc w:val="center"/>
        </w:trPr>
        <w:tc>
          <w:tcPr>
            <w:tcW w:w="4542" w:type="dxa"/>
          </w:tcPr>
          <w:p w:rsidR="00661589" w:rsidRP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04A34">
        <w:trPr>
          <w:jc w:val="center"/>
        </w:trPr>
        <w:tc>
          <w:tcPr>
            <w:tcW w:w="4542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C078A3">
        <w:rPr>
          <w:rFonts w:ascii="Times New Roman" w:eastAsia="Times New Roman" w:hAnsi="Times New Roman" w:cs="Times New Roman"/>
          <w:sz w:val="24"/>
          <w:szCs w:val="24"/>
        </w:rPr>
        <w:t xml:space="preserve"> следното</w:t>
      </w:r>
      <w:r w:rsidR="0096203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2039" w:rsidRDefault="00962039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: О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снования, свързани с плащането на данъци или </w:t>
      </w:r>
      <w:proofErr w:type="spellStart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социалноосигурителни</w:t>
      </w:r>
      <w:proofErr w:type="spellEnd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вноски 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70184B" w:rsidTr="00A74EA2">
        <w:trPr>
          <w:jc w:val="center"/>
        </w:trPr>
        <w:tc>
          <w:tcPr>
            <w:tcW w:w="10490" w:type="dxa"/>
          </w:tcPr>
          <w:p w:rsidR="0070184B" w:rsidRPr="0070184B" w:rsidRDefault="0070184B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70184B" w:rsidRPr="0070184B" w:rsidRDefault="006130F1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84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 съгласно законодателството на държавата, в която участникът е установен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доказани с влязъл в сила акт на </w:t>
            </w:r>
            <w:r w:rsidR="00380D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184B" w:rsidRDefault="006130F1" w:rsidP="00945211">
            <w:pPr>
              <w:spacing w:after="0" w:line="360" w:lineRule="auto"/>
              <w:ind w:firstLine="602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08542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78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06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 съгласно законодателството на държавата, 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която участникът е установен, доказани с влязъл в сила акт на </w:t>
            </w:r>
            <w:r w:rsidR="00380D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E70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C4E" w:rsidTr="00A74EA2">
        <w:trPr>
          <w:trHeight w:val="2166"/>
          <w:jc w:val="center"/>
        </w:trPr>
        <w:tc>
          <w:tcPr>
            <w:tcW w:w="10490" w:type="dxa"/>
          </w:tcPr>
          <w:p w:rsidR="00E51C4E" w:rsidRPr="00E51C4E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51C4E" w:rsidRDefault="00E51C4E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51C4E" w:rsidRPr="0070184B" w:rsidRDefault="00E51C4E" w:rsidP="00945211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70C39" w:rsidTr="00A74EA2">
        <w:trPr>
          <w:jc w:val="center"/>
        </w:trPr>
        <w:tc>
          <w:tcPr>
            <w:tcW w:w="10490" w:type="dxa"/>
            <w:shd w:val="clear" w:color="auto" w:fill="E7E6E6" w:themeFill="background2"/>
          </w:tcPr>
          <w:p w:rsidR="00E70C39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70C39" w:rsidRPr="00E70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</w:t>
            </w:r>
            <w:r w:rsidR="00E70C39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 случай че е налице обстоятелство по т. 1.2</w:t>
            </w:r>
            <w:r w:rsidR="00E7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225D8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Размер на задължението за данъци и задължителни осигурителни вноски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вноски) и лихвите по тях …………………………………….</w:t>
            </w:r>
          </w:p>
          <w:p w:rsidR="00E70C39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25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Размер на годишния оборот за последната приключена финансова година…………..</w:t>
            </w:r>
          </w:p>
          <w:p w:rsidR="00D548A6" w:rsidRPr="008225D8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………………………………………………….</w:t>
            </w:r>
          </w:p>
        </w:tc>
      </w:tr>
    </w:tbl>
    <w:p w:rsidR="00CD68CE" w:rsidRPr="008225D8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8225D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302B4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неравнопоставеност </w:t>
      </w:r>
      <w:r w:rsidR="00D548A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във връзка с проведени пазарни консултации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8225D8" w:rsidTr="00A74EA2">
        <w:trPr>
          <w:jc w:val="center"/>
        </w:trPr>
        <w:tc>
          <w:tcPr>
            <w:tcW w:w="10485" w:type="dxa"/>
          </w:tcPr>
          <w:p w:rsidR="008225D8" w:rsidRPr="0070184B" w:rsidRDefault="008225D8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обстоятелство, което се отнася за конкретния участник)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225D8" w:rsidRPr="0070184B" w:rsidRDefault="006130F1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0269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8225D8" w:rsidRP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е е налице неравнопоставеност в с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лучаите по чл. 44, ал. 5 от ЗОП</w:t>
            </w:r>
          </w:p>
          <w:p w:rsidR="008225D8" w:rsidRDefault="006130F1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9872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не е налице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неравнопоставеност по чл. 44, ал. 5 от ЗОП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1C4E" w:rsidRPr="00E51C4E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57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Забележка: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Съгласно чл. 44, ал. 5 от ЗОП участник, който е участвал в пазарна консултация се отстранява от участие</w:t>
            </w:r>
            <w:r w:rsidR="0086201C"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ако не може да докаже, че участието му не води до нарушаване на принципа за равнопоставеност, независимо от съблюдаването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изискванията на чл. 44, ал. 3 и ал. 4 от ЗОП. Преценката за необходимостта от отстраняване от участие е на възложителя, но тежестта на доказване спазването на принципите на ЗОП, е на участниците </w:t>
            </w:r>
            <w:r w:rsidR="00862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обществената поръчка</w:t>
            </w:r>
            <w:r w:rsidRPr="00E51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225D8" w:rsidRDefault="008225D8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51C4E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</w:t>
      </w:r>
      <w:r w:rsidR="00E51C4E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предоставени документи и информация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E51C4E" w:rsidTr="00A74EA2">
        <w:trPr>
          <w:jc w:val="center"/>
        </w:trPr>
        <w:tc>
          <w:tcPr>
            <w:tcW w:w="10485" w:type="dxa"/>
          </w:tcPr>
          <w:p w:rsidR="00E51C4E" w:rsidRPr="0070184B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9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51C4E" w:rsidRDefault="006130F1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6292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C4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51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е установено, че е:</w:t>
            </w:r>
          </w:p>
          <w:p w:rsidR="008F7AE0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а)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 или</w:t>
            </w:r>
          </w:p>
          <w:p w:rsidR="008F7AE0" w:rsidRPr="0070184B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1208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 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  <w:p w:rsidR="00E51C4E" w:rsidRPr="00E51C4E" w:rsidRDefault="006130F1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7340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56D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>е установено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някое от обстоятелствата по т. 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1.1., буква „а“ и/или буква „б“ 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48A6" w:rsidRPr="00D548A6" w:rsidTr="00A74EA2">
        <w:trPr>
          <w:trHeight w:val="1020"/>
          <w:jc w:val="center"/>
        </w:trPr>
        <w:tc>
          <w:tcPr>
            <w:tcW w:w="10485" w:type="dxa"/>
            <w:shd w:val="clear" w:color="auto" w:fill="E7E6E6" w:themeFill="background2"/>
          </w:tcPr>
          <w:p w:rsid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548A6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Default="00CD68CE" w:rsidP="00CD68CE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D548A6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нарушения на трудовото законодателство</w:t>
      </w:r>
    </w:p>
    <w:tbl>
      <w:tblPr>
        <w:tblStyle w:val="TableGrid"/>
        <w:tblW w:w="10207" w:type="dxa"/>
        <w:jc w:val="center"/>
        <w:tblLook w:val="04A0" w:firstRow="1" w:lastRow="0" w:firstColumn="1" w:lastColumn="0" w:noHBand="0" w:noVBand="1"/>
      </w:tblPr>
      <w:tblGrid>
        <w:gridCol w:w="10207"/>
      </w:tblGrid>
      <w:tr w:rsidR="00EF3250" w:rsidTr="00F6447C">
        <w:trPr>
          <w:jc w:val="center"/>
        </w:trPr>
        <w:tc>
          <w:tcPr>
            <w:tcW w:w="10207" w:type="dxa"/>
          </w:tcPr>
          <w:p w:rsidR="00EF3250" w:rsidRPr="0070184B" w:rsidRDefault="00EF3250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само едно обстоятелство, което се отнася за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лицето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F3250" w:rsidRDefault="006130F1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8459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25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 е установено с влязло в сила наказателно постановление или съдебно решение</w:t>
            </w:r>
          </w:p>
          <w:p w:rsidR="00EF3250" w:rsidRDefault="00EF3250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нарушение на чл. 61, ал. 1 от Кодекса на труда (КТ) (липса на сключен трудов договор между работника/служителя и работодателя преди постъпването на работа)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1 от КТ (липса на сключен договор в писмена форма)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3 от КТ (липса на изпратено уведомление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сключен или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прекратен трудов договор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 съответната териториална дирекция на Националната агенция за приходите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г)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1 от КТ (липса на предоставен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екземпляр от сключения трудов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копие от уведомлението по чл. 62, ал.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КТ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заверено от териториалната дирекция на Националната агенция за приходите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2 от КТ (допускане до работа на работника/служителя преди предоставяне на документите по б. „г“);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118 от КТ (нарушаване на забраната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едностранно изменение на трудовото правоотношение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ж)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128 от КТ (неспазване на з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адължение на работодателя за начисление и плащане на трудово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з)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228, ал. 3 от 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неизплащане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 на обезщетения, дължими при прекратяване на трудово правоотношение);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нарушение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чл. 245 от КТ (липса на г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арантиране на изплащането на трудовото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301-305 от КТ (нарушаване на задълженията, свързани със специалната закрила на непълнолетните);</w:t>
            </w:r>
          </w:p>
          <w:p w:rsidR="005A0D47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13, ал. 1 от Закона за трудовата миграция и трудовата мобилност (нарушаване на забраната за </w:t>
            </w:r>
            <w:r w:rsidRP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наемане на работа на незаконно пребиваващи на територията на Република България граждани на трети държави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  <w:p w:rsidR="005A0D47" w:rsidRPr="0098529E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аналогични задължения на тези по б. „а“ до б. „л“, установени </w:t>
            </w:r>
            <w:r w:rsidR="00D548A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акт на компетентен орган съгласно законодателството на държавата, в която представляваното от мен лице е установено.</w:t>
            </w:r>
          </w:p>
          <w:p w:rsidR="00EF3250" w:rsidRPr="00E51C4E" w:rsidRDefault="006130F1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5026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EF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A0D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Установено е с влязло в сила наказателно постановление или съдебно решение нарушение на задължение по т. 1.1., буква ………(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</w:t>
            </w:r>
            <w:r w:rsidR="005A0D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“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0D47" w:rsidRPr="00F51BA3" w:rsidTr="00F6447C">
        <w:trPr>
          <w:jc w:val="center"/>
        </w:trPr>
        <w:tc>
          <w:tcPr>
            <w:tcW w:w="10207" w:type="dxa"/>
          </w:tcPr>
          <w:p w:rsidR="005A0D47" w:rsidRPr="00F51BA3" w:rsidRDefault="005A0D47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5A0D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A0D47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F51BA3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5A0D47" w:rsidRPr="00ED2547" w:rsidTr="00F6447C">
        <w:trPr>
          <w:jc w:val="center"/>
        </w:trPr>
        <w:tc>
          <w:tcPr>
            <w:tcW w:w="10207" w:type="dxa"/>
            <w:shd w:val="clear" w:color="auto" w:fill="E7E6E6" w:themeFill="background2"/>
          </w:tcPr>
          <w:p w:rsidR="00D548A6" w:rsidRDefault="005A0D47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спрямо лицето е издадено наказателно постановление/съдебно решение:</w:t>
            </w:r>
            <w:r w:rsidR="00F91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Pr="00496404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C4400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Д</w:t>
      </w:r>
      <w:r w:rsidR="00C4400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липса на </w:t>
      </w:r>
      <w:r w:rsidR="006827E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свързаност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44008" w:rsidRPr="00C44008" w:rsidTr="00E928AA">
        <w:trPr>
          <w:trHeight w:val="992"/>
          <w:jc w:val="center"/>
        </w:trPr>
        <w:tc>
          <w:tcPr>
            <w:tcW w:w="9919" w:type="dxa"/>
          </w:tcPr>
          <w:p w:rsidR="00C44008" w:rsidRPr="00C44008" w:rsidRDefault="00C44008" w:rsidP="00945211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6130F1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47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 1, т.13, б. „а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“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,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„б“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и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„в“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572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и т. 14 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от Допълнителните разпоредби на Закона за публичното предлагане на ценни кни</w:t>
            </w:r>
            <w:r w:rsidR="00D44C0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жа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(ДР на ЗППЦК) във </w:t>
            </w:r>
            <w:proofErr w:type="spellStart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Допълнителните разпоредби на ЗОП (ДР на ЗОП)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6130F1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1, т.13, б. „а“, б. „б“ и б. „в“ и т. 14 от 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 на ЗППЦК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във </w:t>
            </w:r>
            <w:proofErr w:type="spellStart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ДР на ЗОП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7EF2" w:rsidRDefault="00C44008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 w:rsid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Допълнителните разпоредби на Закона за обществените поръчки 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</w:t>
            </w:r>
            <w:r w:rsidR="00D44C03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жа</w:t>
            </w:r>
            <w:r w:rsid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(ДР на ЗППЦК)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</w:t>
            </w:r>
            <w:r w:rsid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т.13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а) лицата, едното от които контролира другото лице или е негово дъщерно дружество;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б) лицата, чиято дейност се контролира от трето лице;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в) лицата, които съ</w:t>
            </w:r>
            <w:r w:rsidR="001718C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вместно контролират  трето лице.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т.14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, 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е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когато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: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а)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притежава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включително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чрез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дъщерно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силата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на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споразумение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над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50 на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броя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на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гласовете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в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общото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събрание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на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б)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определя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непряко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повече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половината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членовете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на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управителния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орган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на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D52A10" w:rsidRDefault="00A00205" w:rsidP="00D52A10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в) </w:t>
            </w:r>
            <w:proofErr w:type="spellStart"/>
            <w:proofErr w:type="gram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proofErr w:type="gram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начин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упражнява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решаващо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влияние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върху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вземането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на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решения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във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връзка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дейността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на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.</w:t>
            </w:r>
          </w:p>
        </w:tc>
      </w:tr>
      <w:tr w:rsidR="00C44008" w:rsidRPr="00C44008" w:rsidTr="00E928AA">
        <w:trPr>
          <w:trHeight w:val="2254"/>
          <w:jc w:val="center"/>
        </w:trPr>
        <w:tc>
          <w:tcPr>
            <w:tcW w:w="9919" w:type="dxa"/>
          </w:tcPr>
          <w:p w:rsidR="00C44008" w:rsidRPr="00F51BA3" w:rsidRDefault="00C44008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CD68CE" w:rsidRDefault="00CD68CE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Pr="00CD68CE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41FE7" w:rsidRPr="002F10D2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Е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регистрация в юрисдикция с преференциален </w:t>
      </w:r>
      <w:r w:rsidR="0023410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данъчен 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режим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7F798C" w:rsidTr="00945211">
        <w:trPr>
          <w:trHeight w:val="4678"/>
          <w:jc w:val="center"/>
        </w:trPr>
        <w:tc>
          <w:tcPr>
            <w:tcW w:w="9919" w:type="dxa"/>
          </w:tcPr>
          <w:p w:rsidR="00D21D04" w:rsidRPr="00C44008" w:rsidRDefault="00D21D04" w:rsidP="005B35BD">
            <w:pPr>
              <w:pStyle w:val="ListParagraph"/>
              <w:numPr>
                <w:ilvl w:val="0"/>
                <w:numId w:val="13"/>
              </w:numPr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D21D04" w:rsidRDefault="006130F1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802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D0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1D04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>регистриран</w:t>
            </w:r>
            <w:r w:rsidR="00AA773B">
              <w:rPr>
                <w:rFonts w:ascii="Times New Roman" w:hAnsi="Times New Roman"/>
                <w:sz w:val="24"/>
                <w:szCs w:val="24"/>
                <w:lang w:eastAsia="bg-BG"/>
              </w:rPr>
              <w:t>о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в юрисдикция с преференциален данъчен режим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773B" w:rsidRPr="00A47CB9" w:rsidRDefault="006130F1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6613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47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sz w:val="24"/>
                <w:szCs w:val="24"/>
              </w:rPr>
              <w:t>е регистрирано в юрисдикция с преференциален данъчен режим, а именно:…………………</w:t>
            </w:r>
          </w:p>
          <w:p w:rsidR="00A47CB9" w:rsidRPr="00A47CB9" w:rsidRDefault="00A47CB9" w:rsidP="005B35BD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Представляваното от мен лице </w:t>
            </w:r>
            <w:r w:rsidRPr="00A47C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(отбелязва се с „х“ само едно обстоятелство, което се отнася за лицето)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A47CB9" w:rsidRDefault="006130F1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Segoe UI Symbol" w:hAnsi="Segoe UI Symbol" w:cs="Segoe UI Symbol"/>
                  <w:iCs/>
                  <w:sz w:val="24"/>
                  <w:szCs w:val="24"/>
                </w:rPr>
                <w:id w:val="-208396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Segoe UI Symbol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2.1.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</w:t>
            </w:r>
            <w:r w:rsidR="00D44C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контролирано лице от дружество, регистрирано/и  в юрисдикция/и с преференциален данъчен режим</w:t>
            </w:r>
            <w:r w:rsidR="00A47CB9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7F798C" w:rsidRPr="00A47CB9" w:rsidRDefault="006130F1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iCs/>
                  <w:sz w:val="24"/>
                  <w:szCs w:val="24"/>
                </w:rPr>
                <w:id w:val="101404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е контролирано лице от дружество, регистрирано/и  в юрисдикция/и с преференциален данъчен режим, а именно: ………………………</w:t>
            </w:r>
            <w:r w:rsidR="009452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A47CB9" w:rsidTr="00A47CB9">
        <w:trPr>
          <w:trHeight w:val="1417"/>
          <w:jc w:val="center"/>
        </w:trPr>
        <w:tc>
          <w:tcPr>
            <w:tcW w:w="9919" w:type="dxa"/>
            <w:shd w:val="clear" w:color="auto" w:fill="E7E6E6" w:themeFill="background2"/>
          </w:tcPr>
          <w:p w:rsidR="00A47CB9" w:rsidRPr="00A47CB9" w:rsidRDefault="00A47CB9" w:rsidP="00945211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1.1, съответно по т. 2.2.</w:t>
            </w:r>
          </w:p>
          <w:p w:rsidR="00A47CB9" w:rsidRPr="00A47CB9" w:rsidRDefault="00A47CB9" w:rsidP="00945211">
            <w:p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Представляваният от мен участник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собственици.</w:t>
            </w:r>
          </w:p>
        </w:tc>
      </w:tr>
      <w:tr w:rsidR="00A47CB9" w:rsidTr="00A47CB9">
        <w:trPr>
          <w:trHeight w:val="992"/>
          <w:jc w:val="center"/>
        </w:trPr>
        <w:tc>
          <w:tcPr>
            <w:tcW w:w="9919" w:type="dxa"/>
          </w:tcPr>
          <w:p w:rsidR="00A47CB9" w:rsidRPr="00A47CB9" w:rsidRDefault="00A47CB9" w:rsidP="00C078A3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Запознат съм с правомощията на възложителя по чл. 6, ал. 5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телни собственици,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§ 7, ал. 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2 от Заключителните разпоредби на същия.</w:t>
            </w:r>
          </w:p>
        </w:tc>
      </w:tr>
    </w:tbl>
    <w:p w:rsidR="00F41FE7" w:rsidRDefault="00F41FE7" w:rsidP="00C078A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C078A3" w:rsidRPr="002F10D2" w:rsidRDefault="00C078A3" w:rsidP="00C078A3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Ж. 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D68CE" w:rsidTr="00CD68CE">
        <w:trPr>
          <w:trHeight w:val="3330"/>
          <w:jc w:val="center"/>
        </w:trPr>
        <w:tc>
          <w:tcPr>
            <w:tcW w:w="9919" w:type="dxa"/>
          </w:tcPr>
          <w:p w:rsidR="00CD68CE" w:rsidRPr="00C44008" w:rsidRDefault="00CD68CE" w:rsidP="00CD68CE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участието ми в настоящата обществена поръчка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CD68CE" w:rsidRDefault="006130F1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8997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В представляваното от мен дружество няма лице по чл. 69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, ал. 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  <w:p w:rsidR="00CD68CE" w:rsidRPr="00CD68CE" w:rsidRDefault="006130F1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6817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представляваното от мен дружество 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лице по чл. 69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, ал.2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</w:tc>
      </w:tr>
    </w:tbl>
    <w:p w:rsidR="00C078A3" w:rsidRPr="00C078A3" w:rsidRDefault="00C078A3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4A1C6B" w:rsidRPr="0033524A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4A1C6B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EA2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</w:t>
      </w: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E1631" w:rsidRDefault="00F41FE7" w:rsidP="002E163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E1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B540D" w:rsidRDefault="00DB540D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C11BD" w:rsidRPr="00E928AA" w:rsidRDefault="002E4A51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E928AA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 за обществените поръчки (ЗОП).</w:t>
      </w:r>
    </w:p>
    <w:p w:rsidR="00E928AA" w:rsidRPr="00FC7B03" w:rsidRDefault="009A13A4" w:rsidP="00FC7B03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 чл. 54, ал. 1, т. 3-6 от ЗОП, чл. 101, ал. 11 от ЗОП във </w:t>
      </w:r>
      <w:proofErr w:type="spellStart"/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вр</w:t>
      </w:r>
      <w:proofErr w:type="spellEnd"/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с §1, т. 13, б. „а“, „б“ и „в“ и т. 14 от ДР на ЗППЦК, чл. 3, т. 8 от </w:t>
      </w:r>
      <w:r w:rsidR="007379AF" w:rsidRPr="007379AF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ЗИФОДРЮПДРКТЛТДС</w:t>
      </w:r>
      <w:r w:rsidR="00FC7B0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чл. 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69, ал. 2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противодействие на корупцията и отнемане на незаконно придобитото имущество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41245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представляващия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участника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 подизпълнител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и/или трети лица</w:t>
      </w: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когато участникът е декларирал използването на такива в офертата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/се е позовал на капацитета им</w:t>
      </w: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9B45AC" w:rsidRPr="00DC11BD" w:rsidRDefault="009B45A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Когато участникът е обединение, което не е юридическо лице, настоящата декларация следва да се подаде от всеки от участниците в обединението.</w:t>
      </w:r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При необходимост от деклариране на обстоятелства, </w:t>
      </w:r>
      <w:proofErr w:type="spellStart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sectPr w:rsidR="009B45A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0F1" w:rsidRDefault="006130F1" w:rsidP="00C765EE">
      <w:pPr>
        <w:spacing w:after="0" w:line="240" w:lineRule="auto"/>
      </w:pPr>
      <w:r>
        <w:separator/>
      </w:r>
    </w:p>
  </w:endnote>
  <w:endnote w:type="continuationSeparator" w:id="0">
    <w:p w:rsidR="006130F1" w:rsidRDefault="006130F1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0F1" w:rsidRDefault="006130F1" w:rsidP="00C765EE">
      <w:pPr>
        <w:spacing w:after="0" w:line="240" w:lineRule="auto"/>
      </w:pPr>
      <w:r>
        <w:separator/>
      </w:r>
    </w:p>
  </w:footnote>
  <w:footnote w:type="continuationSeparator" w:id="0">
    <w:p w:rsidR="006130F1" w:rsidRDefault="006130F1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0460"/>
    <w:rsid w:val="00017041"/>
    <w:rsid w:val="00090306"/>
    <w:rsid w:val="000A6075"/>
    <w:rsid w:val="000B46D5"/>
    <w:rsid w:val="000E6DCC"/>
    <w:rsid w:val="000F4CA9"/>
    <w:rsid w:val="00104D7E"/>
    <w:rsid w:val="001208CD"/>
    <w:rsid w:val="0013266A"/>
    <w:rsid w:val="001718C0"/>
    <w:rsid w:val="00186511"/>
    <w:rsid w:val="0019624B"/>
    <w:rsid w:val="00196AAE"/>
    <w:rsid w:val="001A064A"/>
    <w:rsid w:val="001C0778"/>
    <w:rsid w:val="001E1A19"/>
    <w:rsid w:val="001E3D84"/>
    <w:rsid w:val="00204A34"/>
    <w:rsid w:val="00225344"/>
    <w:rsid w:val="00234109"/>
    <w:rsid w:val="002620EC"/>
    <w:rsid w:val="00266537"/>
    <w:rsid w:val="002B4BF0"/>
    <w:rsid w:val="002B5177"/>
    <w:rsid w:val="002C7CE3"/>
    <w:rsid w:val="002D7F94"/>
    <w:rsid w:val="002E1631"/>
    <w:rsid w:val="002E4A51"/>
    <w:rsid w:val="002E6C3D"/>
    <w:rsid w:val="002F10D2"/>
    <w:rsid w:val="00314B3C"/>
    <w:rsid w:val="00315E26"/>
    <w:rsid w:val="0032056D"/>
    <w:rsid w:val="00343DD0"/>
    <w:rsid w:val="00362767"/>
    <w:rsid w:val="0036450A"/>
    <w:rsid w:val="00370D96"/>
    <w:rsid w:val="00380DAF"/>
    <w:rsid w:val="003834A8"/>
    <w:rsid w:val="00384A72"/>
    <w:rsid w:val="00396368"/>
    <w:rsid w:val="003A1407"/>
    <w:rsid w:val="003C3D7D"/>
    <w:rsid w:val="003E5494"/>
    <w:rsid w:val="00412274"/>
    <w:rsid w:val="00412452"/>
    <w:rsid w:val="00416FCB"/>
    <w:rsid w:val="004252FD"/>
    <w:rsid w:val="00431634"/>
    <w:rsid w:val="00433FA5"/>
    <w:rsid w:val="004440CC"/>
    <w:rsid w:val="004550A6"/>
    <w:rsid w:val="00465BD7"/>
    <w:rsid w:val="00467DDA"/>
    <w:rsid w:val="00472844"/>
    <w:rsid w:val="00496404"/>
    <w:rsid w:val="004A1C6B"/>
    <w:rsid w:val="004A5856"/>
    <w:rsid w:val="004C7784"/>
    <w:rsid w:val="004D6F0D"/>
    <w:rsid w:val="004F0855"/>
    <w:rsid w:val="00516B24"/>
    <w:rsid w:val="00557041"/>
    <w:rsid w:val="005727AD"/>
    <w:rsid w:val="00583853"/>
    <w:rsid w:val="00593174"/>
    <w:rsid w:val="005A0D47"/>
    <w:rsid w:val="005B2449"/>
    <w:rsid w:val="005B35BD"/>
    <w:rsid w:val="005C49DF"/>
    <w:rsid w:val="005F67CD"/>
    <w:rsid w:val="005F7017"/>
    <w:rsid w:val="00607186"/>
    <w:rsid w:val="006130F1"/>
    <w:rsid w:val="00630DEF"/>
    <w:rsid w:val="006463C1"/>
    <w:rsid w:val="00661589"/>
    <w:rsid w:val="006821A8"/>
    <w:rsid w:val="006827E9"/>
    <w:rsid w:val="00683AEF"/>
    <w:rsid w:val="006D4204"/>
    <w:rsid w:val="006E54A5"/>
    <w:rsid w:val="0070184B"/>
    <w:rsid w:val="00720D94"/>
    <w:rsid w:val="007379AF"/>
    <w:rsid w:val="0076088D"/>
    <w:rsid w:val="00764F1A"/>
    <w:rsid w:val="007D073B"/>
    <w:rsid w:val="007E3504"/>
    <w:rsid w:val="007F6775"/>
    <w:rsid w:val="007F798C"/>
    <w:rsid w:val="0080112E"/>
    <w:rsid w:val="00801DCE"/>
    <w:rsid w:val="008060CB"/>
    <w:rsid w:val="008225D8"/>
    <w:rsid w:val="008227BD"/>
    <w:rsid w:val="00845F1F"/>
    <w:rsid w:val="00850B87"/>
    <w:rsid w:val="0086201C"/>
    <w:rsid w:val="008859D8"/>
    <w:rsid w:val="008914BB"/>
    <w:rsid w:val="008F7AE0"/>
    <w:rsid w:val="009245A5"/>
    <w:rsid w:val="00930A8C"/>
    <w:rsid w:val="00945211"/>
    <w:rsid w:val="00955EA1"/>
    <w:rsid w:val="009619F0"/>
    <w:rsid w:val="00962039"/>
    <w:rsid w:val="009851A1"/>
    <w:rsid w:val="0098529E"/>
    <w:rsid w:val="00996921"/>
    <w:rsid w:val="009A13A4"/>
    <w:rsid w:val="009B45AC"/>
    <w:rsid w:val="009D00CC"/>
    <w:rsid w:val="00A00205"/>
    <w:rsid w:val="00A24F4D"/>
    <w:rsid w:val="00A42464"/>
    <w:rsid w:val="00A47CB9"/>
    <w:rsid w:val="00A74EA2"/>
    <w:rsid w:val="00AA3DF5"/>
    <w:rsid w:val="00AA6087"/>
    <w:rsid w:val="00AA773B"/>
    <w:rsid w:val="00B23858"/>
    <w:rsid w:val="00B331B0"/>
    <w:rsid w:val="00B363E2"/>
    <w:rsid w:val="00B476D1"/>
    <w:rsid w:val="00B523B3"/>
    <w:rsid w:val="00B61DC1"/>
    <w:rsid w:val="00B76399"/>
    <w:rsid w:val="00B86ECE"/>
    <w:rsid w:val="00B87EF2"/>
    <w:rsid w:val="00B90E4E"/>
    <w:rsid w:val="00B91C8E"/>
    <w:rsid w:val="00BC0ABA"/>
    <w:rsid w:val="00BE4CB2"/>
    <w:rsid w:val="00BE5B27"/>
    <w:rsid w:val="00BE737D"/>
    <w:rsid w:val="00C078A3"/>
    <w:rsid w:val="00C2211D"/>
    <w:rsid w:val="00C34030"/>
    <w:rsid w:val="00C43397"/>
    <w:rsid w:val="00C44008"/>
    <w:rsid w:val="00C765EE"/>
    <w:rsid w:val="00C956C5"/>
    <w:rsid w:val="00CA2756"/>
    <w:rsid w:val="00CA7967"/>
    <w:rsid w:val="00CC3C5E"/>
    <w:rsid w:val="00CD68CE"/>
    <w:rsid w:val="00D153C3"/>
    <w:rsid w:val="00D21D04"/>
    <w:rsid w:val="00D33623"/>
    <w:rsid w:val="00D33785"/>
    <w:rsid w:val="00D44C03"/>
    <w:rsid w:val="00D52A10"/>
    <w:rsid w:val="00D548A6"/>
    <w:rsid w:val="00D72EC1"/>
    <w:rsid w:val="00D941D5"/>
    <w:rsid w:val="00DA6FC0"/>
    <w:rsid w:val="00DB540D"/>
    <w:rsid w:val="00DC11BD"/>
    <w:rsid w:val="00DD7720"/>
    <w:rsid w:val="00DE7326"/>
    <w:rsid w:val="00DF1975"/>
    <w:rsid w:val="00DF4DDC"/>
    <w:rsid w:val="00E302B4"/>
    <w:rsid w:val="00E40728"/>
    <w:rsid w:val="00E51C4E"/>
    <w:rsid w:val="00E54D35"/>
    <w:rsid w:val="00E55457"/>
    <w:rsid w:val="00E554B1"/>
    <w:rsid w:val="00E6742C"/>
    <w:rsid w:val="00E70575"/>
    <w:rsid w:val="00E70C39"/>
    <w:rsid w:val="00E864AC"/>
    <w:rsid w:val="00E928AA"/>
    <w:rsid w:val="00EC3B9C"/>
    <w:rsid w:val="00ED2547"/>
    <w:rsid w:val="00ED62D7"/>
    <w:rsid w:val="00EF3250"/>
    <w:rsid w:val="00F14797"/>
    <w:rsid w:val="00F41FE7"/>
    <w:rsid w:val="00F51BA3"/>
    <w:rsid w:val="00F57227"/>
    <w:rsid w:val="00F6447C"/>
    <w:rsid w:val="00F75671"/>
    <w:rsid w:val="00F77500"/>
    <w:rsid w:val="00F91B06"/>
    <w:rsid w:val="00F92024"/>
    <w:rsid w:val="00FB4DC1"/>
    <w:rsid w:val="00FC5B12"/>
    <w:rsid w:val="00FC717B"/>
    <w:rsid w:val="00FC7B03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customStyle="1" w:styleId="Default">
    <w:name w:val="Default"/>
    <w:rsid w:val="00C07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7EF2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E4C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8AAE0-065A-4FF5-8EA8-7CE548E8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7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Пламена Павлова</cp:lastModifiedBy>
  <cp:revision>154</cp:revision>
  <dcterms:created xsi:type="dcterms:W3CDTF">2019-03-20T11:28:00Z</dcterms:created>
  <dcterms:modified xsi:type="dcterms:W3CDTF">2019-12-12T12:06:00Z</dcterms:modified>
</cp:coreProperties>
</file>