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6E2" w:rsidRDefault="00F956E2" w:rsidP="00F956E2">
      <w:pPr>
        <w:spacing w:line="360" w:lineRule="auto"/>
        <w:jc w:val="center"/>
        <w:rPr>
          <w:rFonts w:ascii="Times New Roman" w:hAnsi="Times New Roman" w:cs="Times New Roman"/>
          <w:b/>
          <w:bCs/>
          <w:lang w:eastAsia="ar-SA"/>
        </w:rPr>
      </w:pPr>
      <w:r>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bookmarkStart w:id="0" w:name="bookmark2"/>
    </w:p>
    <w:p w:rsidR="00E7712E" w:rsidRPr="007628F3" w:rsidRDefault="00E7712E" w:rsidP="007628F3">
      <w:pPr>
        <w:widowControl/>
        <w:spacing w:before="120" w:after="200" w:line="276" w:lineRule="auto"/>
        <w:ind w:left="567"/>
        <w:jc w:val="center"/>
        <w:rPr>
          <w:rFonts w:ascii="Times New Roman" w:hAnsi="Times New Roman" w:cs="Times New Roman"/>
          <w:b/>
          <w:bCs/>
          <w:lang w:eastAsia="ar-SA"/>
        </w:rPr>
      </w:pPr>
      <w:r w:rsidRPr="00E7712E">
        <w:rPr>
          <w:rFonts w:ascii="Times New Roman" w:hAnsi="Times New Roman" w:cs="Times New Roman"/>
          <w:b/>
          <w:bCs/>
          <w:lang w:eastAsia="ar-SA"/>
        </w:rPr>
        <w:t xml:space="preserve">„АБОНАМЕНТ </w:t>
      </w:r>
      <w:r w:rsidR="00644507">
        <w:rPr>
          <w:rFonts w:ascii="Times New Roman" w:hAnsi="Times New Roman" w:cs="Times New Roman"/>
          <w:b/>
          <w:bCs/>
          <w:lang w:eastAsia="ar-SA"/>
        </w:rPr>
        <w:t xml:space="preserve">ЗА </w:t>
      </w:r>
      <w:r w:rsidRPr="00E7712E">
        <w:rPr>
          <w:rFonts w:ascii="Times New Roman" w:hAnsi="Times New Roman" w:cs="Times New Roman"/>
          <w:b/>
          <w:bCs/>
          <w:lang w:eastAsia="ar-SA"/>
        </w:rPr>
        <w:t>ПОДДРЪЖКА НА  ПРОДУКТИ ОТ ФИРМАТА SYMANTEC И ОСИГУРЯВАНЕ НА ПОМОЩ ПРИ ВЪЗНИКВАНЕ НА КРИЗИ.“</w:t>
      </w:r>
    </w:p>
    <w:p w:rsidR="00F956E2" w:rsidRPr="007628F3" w:rsidRDefault="00F956E2" w:rsidP="00F956E2">
      <w:pPr>
        <w:spacing w:line="360" w:lineRule="auto"/>
        <w:jc w:val="center"/>
        <w:rPr>
          <w:rFonts w:ascii="Times New Roman" w:hAnsi="Times New Roman" w:cs="Times New Roman"/>
          <w:b/>
          <w:bCs/>
          <w:lang w:eastAsia="ar-SA"/>
        </w:rPr>
      </w:pPr>
    </w:p>
    <w:bookmarkEnd w:id="0"/>
    <w:p w:rsidR="00F956E2" w:rsidRPr="007628F3" w:rsidRDefault="00F956E2" w:rsidP="00F956E2">
      <w:pPr>
        <w:pStyle w:val="Heading30"/>
        <w:keepNext/>
        <w:keepLines/>
        <w:shd w:val="clear" w:color="auto" w:fill="auto"/>
        <w:tabs>
          <w:tab w:val="left" w:pos="0"/>
          <w:tab w:val="left" w:pos="426"/>
        </w:tabs>
        <w:spacing w:after="0" w:line="240" w:lineRule="auto"/>
        <w:ind w:right="208"/>
        <w:rPr>
          <w:rFonts w:eastAsia="Microsoft Sans Serif"/>
          <w:bCs/>
          <w:color w:val="000000"/>
          <w:sz w:val="24"/>
          <w:szCs w:val="24"/>
          <w:lang w:eastAsia="ar-SA"/>
        </w:rPr>
      </w:pPr>
    </w:p>
    <w:p w:rsidR="00F956E2" w:rsidRDefault="00F956E2" w:rsidP="00F956E2">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1" w:name="bookmark3"/>
      <w:r>
        <w:rPr>
          <w:sz w:val="24"/>
          <w:szCs w:val="24"/>
        </w:rPr>
        <w:t>ОБЩИ УСЛОВИЯ</w:t>
      </w:r>
      <w:bookmarkEnd w:id="1"/>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rsidR="00F956E2" w:rsidRDefault="00F956E2" w:rsidP="00F956E2">
      <w:pPr>
        <w:keepNext/>
        <w:keepLines/>
        <w:tabs>
          <w:tab w:val="left" w:pos="0"/>
          <w:tab w:val="left" w:pos="426"/>
        </w:tabs>
        <w:spacing w:line="360" w:lineRule="auto"/>
        <w:ind w:firstLine="737"/>
        <w:jc w:val="both"/>
        <w:rPr>
          <w:rFonts w:ascii="Times New Roman" w:hAnsi="Times New Roman" w:cs="Times New Roman"/>
          <w:b/>
          <w:bCs/>
          <w:color w:val="auto"/>
        </w:rPr>
      </w:pPr>
      <w:bookmarkStart w:id="2" w:name="bookmark4"/>
      <w:r>
        <w:rPr>
          <w:rFonts w:ascii="Times New Roman" w:hAnsi="Times New Roman" w:cs="Times New Roman"/>
          <w:b/>
          <w:bCs/>
          <w:u w:val="single"/>
        </w:rPr>
        <w:t>Правно основание за провеждане на обществената поръчка</w:t>
      </w:r>
      <w:bookmarkEnd w:id="2"/>
    </w:p>
    <w:p w:rsidR="00F956E2" w:rsidRDefault="00F956E2" w:rsidP="00F956E2">
      <w:pPr>
        <w:tabs>
          <w:tab w:val="left" w:pos="0"/>
          <w:tab w:val="left" w:pos="426"/>
        </w:tabs>
        <w:spacing w:line="360" w:lineRule="auto"/>
        <w:ind w:firstLine="737"/>
        <w:jc w:val="both"/>
        <w:rPr>
          <w:rFonts w:ascii="Times New Roman" w:hAnsi="Times New Roman" w:cs="Times New Roman"/>
          <w:color w:val="auto"/>
        </w:rPr>
      </w:pPr>
      <w:r>
        <w:rPr>
          <w:rFonts w:ascii="Times New Roman" w:hAnsi="Times New Roman" w:cs="Times New Roman"/>
          <w:color w:val="auto"/>
        </w:rPr>
        <w:t>Чл. 20, ал. 3, т. 2 от ЗОП във връзка с чл. 186 и чл. 187, ал.1 от ЗОП.</w:t>
      </w:r>
    </w:p>
    <w:p w:rsidR="00F956E2" w:rsidRDefault="00F956E2" w:rsidP="00F956E2">
      <w:pPr>
        <w:tabs>
          <w:tab w:val="left" w:pos="0"/>
          <w:tab w:val="left" w:pos="426"/>
        </w:tabs>
        <w:spacing w:line="360" w:lineRule="auto"/>
        <w:ind w:firstLine="737"/>
        <w:jc w:val="both"/>
        <w:rPr>
          <w:rFonts w:ascii="Times New Roman" w:hAnsi="Times New Roman" w:cs="Times New Roman"/>
          <w:color w:val="auto"/>
          <w:lang w:val="en-US"/>
        </w:rPr>
      </w:pPr>
      <w:r>
        <w:rPr>
          <w:rFonts w:ascii="Times New Roman" w:hAnsi="Times New Roman" w:cs="Times New Roman"/>
          <w:color w:val="auto"/>
        </w:rPr>
        <w:t>За неуредените в настоящите указания и обявата относно обществената поръчка условия по провеждане на поръчката се прилагат разпоредбите на ЗОП и ППЗОП.</w:t>
      </w:r>
    </w:p>
    <w:p w:rsidR="00F956E2" w:rsidRDefault="00F956E2" w:rsidP="00F956E2">
      <w:pPr>
        <w:pStyle w:val="Bodytext21"/>
        <w:shd w:val="clear" w:color="auto" w:fill="auto"/>
        <w:tabs>
          <w:tab w:val="left" w:pos="0"/>
          <w:tab w:val="left" w:pos="426"/>
        </w:tabs>
        <w:spacing w:after="0" w:line="360" w:lineRule="auto"/>
        <w:ind w:firstLine="737"/>
        <w:rPr>
          <w:rFonts w:cs="Microsoft Sans Serif"/>
          <w:sz w:val="24"/>
          <w:szCs w:val="24"/>
        </w:rPr>
      </w:pPr>
    </w:p>
    <w:p w:rsidR="00F956E2" w:rsidRDefault="00F956E2" w:rsidP="00F956E2">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3" w:name="bookmark5"/>
      <w:r>
        <w:rPr>
          <w:sz w:val="24"/>
          <w:szCs w:val="24"/>
        </w:rPr>
        <w:t>УКАЗАНИЯ ЗА ПОДГОТОВКА НА ОФЕРТИТЕ</w:t>
      </w:r>
      <w:bookmarkEnd w:id="3"/>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с предмета на поръчката съгласно законодателството на държавата, в която то е установено.</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При подготвяне на офертата всеки участник трябва да се придържа точно към обявените от възложителя условия.</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Всички оферти се представят на български език.</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процедурата за възлагане на обществената поръчка едно физическо или юридическо лице може да участва само в едно обединение.</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 xml:space="preserve">При изготвянето на офертата не се допускат никакви вписвания между редовете, </w:t>
      </w:r>
      <w:r>
        <w:rPr>
          <w:sz w:val="24"/>
          <w:szCs w:val="24"/>
        </w:rPr>
        <w:lastRenderedPageBreak/>
        <w:t>изтривания или корекции.</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 xml:space="preserve">Разходите за изработването на офертите са за сметка на участниците. Спрямо Възложителя участниците </w:t>
      </w:r>
      <w:r>
        <w:rPr>
          <w:b/>
          <w:sz w:val="24"/>
          <w:szCs w:val="24"/>
        </w:rPr>
        <w:t>не могат</w:t>
      </w:r>
      <w:r>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Представените образци в документацията за участие и условията, описани в тях, са задължителни за участниците</w:t>
      </w:r>
      <w:r>
        <w:rPr>
          <w:sz w:val="24"/>
          <w:szCs w:val="24"/>
        </w:rPr>
        <w:t xml:space="preserve">. </w:t>
      </w:r>
      <w:r>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rsidR="00F956E2" w:rsidRDefault="00F956E2" w:rsidP="00F956E2">
      <w:pPr>
        <w:pStyle w:val="Bodytext21"/>
        <w:tabs>
          <w:tab w:val="left" w:pos="0"/>
          <w:tab w:val="left" w:pos="426"/>
        </w:tabs>
        <w:spacing w:after="0" w:line="360" w:lineRule="auto"/>
        <w:ind w:firstLine="737"/>
        <w:rPr>
          <w:sz w:val="24"/>
          <w:szCs w:val="24"/>
        </w:rPr>
      </w:pPr>
      <w:r>
        <w:rPr>
          <w:sz w:val="24"/>
          <w:szCs w:val="24"/>
        </w:rPr>
        <w:t>Документацията за участие е публикувана на интернет страницата на БНБ, в раздел „Профил на купувача“ на адрес:</w:t>
      </w:r>
    </w:p>
    <w:p w:rsidR="00F034FA" w:rsidRDefault="00F034FA" w:rsidP="00F034FA">
      <w:pPr>
        <w:rPr>
          <w:color w:val="1F497D"/>
        </w:rPr>
      </w:pPr>
      <w:hyperlink r:id="rId6" w:history="1">
        <w:r>
          <w:rPr>
            <w:rStyle w:val="Hyperlink"/>
          </w:rPr>
          <w:t>http://</w:t>
        </w:r>
        <w:r>
          <w:rPr>
            <w:rStyle w:val="Hyperlink"/>
            <w:lang w:val="en-US"/>
          </w:rPr>
          <w:t>www.bnb.bg</w:t>
        </w:r>
        <w:r>
          <w:rPr>
            <w:rStyle w:val="Hyperlink"/>
          </w:rPr>
          <w:t>/</w:t>
        </w:r>
        <w:proofErr w:type="spellStart"/>
        <w:r>
          <w:rPr>
            <w:rStyle w:val="Hyperlink"/>
          </w:rPr>
          <w:t>AboutUs</w:t>
        </w:r>
        <w:proofErr w:type="spellEnd"/>
        <w:r>
          <w:rPr>
            <w:rStyle w:val="Hyperlink"/>
          </w:rPr>
          <w:t>/</w:t>
        </w:r>
        <w:proofErr w:type="spellStart"/>
        <w:r>
          <w:rPr>
            <w:rStyle w:val="Hyperlink"/>
          </w:rPr>
          <w:t>AUPublicProcurements</w:t>
        </w:r>
        <w:proofErr w:type="spellEnd"/>
        <w:r>
          <w:rPr>
            <w:rStyle w:val="Hyperlink"/>
          </w:rPr>
          <w:t>/</w:t>
        </w:r>
        <w:proofErr w:type="spellStart"/>
        <w:r>
          <w:rPr>
            <w:rStyle w:val="Hyperlink"/>
          </w:rPr>
          <w:t>AUPPList</w:t>
        </w:r>
        <w:proofErr w:type="spellEnd"/>
        <w:r>
          <w:rPr>
            <w:rStyle w:val="Hyperlink"/>
          </w:rPr>
          <w:t>/PP_01224-2018-INV_</w:t>
        </w:r>
        <w:r>
          <w:rPr>
            <w:rStyle w:val="Hyperlink"/>
            <w:lang w:val="en-US"/>
          </w:rPr>
          <w:t>2</w:t>
        </w:r>
        <w:r>
          <w:rPr>
            <w:rStyle w:val="Hyperlink"/>
          </w:rPr>
          <w:t>_BG</w:t>
        </w:r>
      </w:hyperlink>
    </w:p>
    <w:p w:rsidR="00F034FA" w:rsidRDefault="00F034FA" w:rsidP="00F034FA">
      <w:pPr>
        <w:rPr>
          <w:color w:val="1F497D"/>
          <w:lang w:val="en-US"/>
        </w:rPr>
      </w:pPr>
      <w:bookmarkStart w:id="4" w:name="_GoBack"/>
      <w:bookmarkEnd w:id="4"/>
    </w:p>
    <w:p w:rsidR="00F956E2" w:rsidRDefault="00F956E2" w:rsidP="00F956E2">
      <w:pPr>
        <w:pStyle w:val="Heading61"/>
        <w:keepNext/>
        <w:keepLines/>
        <w:numPr>
          <w:ilvl w:val="0"/>
          <w:numId w:val="2"/>
        </w:numPr>
        <w:shd w:val="clear" w:color="auto" w:fill="auto"/>
        <w:tabs>
          <w:tab w:val="left" w:pos="0"/>
          <w:tab w:val="left" w:pos="426"/>
          <w:tab w:val="left" w:pos="1134"/>
        </w:tabs>
        <w:spacing w:before="0" w:line="360" w:lineRule="auto"/>
        <w:ind w:firstLine="709"/>
        <w:outlineLvl w:val="9"/>
        <w:rPr>
          <w:sz w:val="24"/>
          <w:szCs w:val="24"/>
        </w:rPr>
      </w:pPr>
      <w:bookmarkStart w:id="5" w:name="bookmark7"/>
      <w:r>
        <w:rPr>
          <w:sz w:val="24"/>
          <w:szCs w:val="24"/>
        </w:rPr>
        <w:t>ОПИСАНИЕ НА ПОРЪЧКАТА</w:t>
      </w:r>
      <w:bookmarkEnd w:id="5"/>
    </w:p>
    <w:p w:rsidR="009749B3" w:rsidRDefault="009749B3" w:rsidP="009749B3">
      <w:pPr>
        <w:widowControl/>
        <w:spacing w:before="120" w:line="276" w:lineRule="auto"/>
        <w:ind w:left="567"/>
        <w:jc w:val="both"/>
      </w:pPr>
      <w:r>
        <w:rPr>
          <w:rStyle w:val="Bodytext2Bold1"/>
          <w:rFonts w:cs="Microsoft Sans Serif"/>
        </w:rPr>
        <w:tab/>
        <w:t xml:space="preserve">1. </w:t>
      </w:r>
      <w:r w:rsidR="00F956E2">
        <w:rPr>
          <w:rStyle w:val="Bodytext2Bold1"/>
          <w:rFonts w:cs="Microsoft Sans Serif"/>
        </w:rPr>
        <w:t>Предмет:</w:t>
      </w:r>
      <w:r w:rsidRPr="009749B3">
        <w:t xml:space="preserve"> </w:t>
      </w:r>
    </w:p>
    <w:p w:rsidR="00F956E2" w:rsidRPr="009749B3" w:rsidRDefault="009749B3" w:rsidP="005C7E0B">
      <w:pPr>
        <w:widowControl/>
        <w:spacing w:line="360" w:lineRule="auto"/>
        <w:ind w:firstLine="709"/>
        <w:jc w:val="both"/>
        <w:rPr>
          <w:rStyle w:val="Bodytext2Bold1"/>
          <w:b w:val="0"/>
          <w:lang w:eastAsia="en-US"/>
        </w:rPr>
      </w:pPr>
      <w:r w:rsidRPr="009749B3">
        <w:rPr>
          <w:rFonts w:ascii="Times New Roman" w:hAnsi="Times New Roman" w:cs="Times New Roman"/>
        </w:rPr>
        <w:t>„</w:t>
      </w:r>
      <w:r w:rsidR="00C62928">
        <w:rPr>
          <w:rFonts w:ascii="Times New Roman" w:eastAsia="Times New Roman" w:hAnsi="Times New Roman"/>
          <w:b/>
        </w:rPr>
        <w:t>Абонамент</w:t>
      </w:r>
      <w:r w:rsidR="00644507">
        <w:rPr>
          <w:rFonts w:ascii="Times New Roman" w:eastAsia="Times New Roman" w:hAnsi="Times New Roman"/>
          <w:b/>
        </w:rPr>
        <w:t xml:space="preserve"> за</w:t>
      </w:r>
      <w:r w:rsidR="00C62928">
        <w:rPr>
          <w:rFonts w:ascii="Times New Roman" w:eastAsia="Times New Roman" w:hAnsi="Times New Roman"/>
          <w:b/>
          <w:lang w:val="ru-RU"/>
        </w:rPr>
        <w:t xml:space="preserve"> поддръжка на  продукти от фирмата </w:t>
      </w:r>
      <w:r w:rsidR="00C62928">
        <w:rPr>
          <w:rFonts w:ascii="Times New Roman" w:eastAsia="Times New Roman" w:hAnsi="Times New Roman"/>
          <w:b/>
          <w:lang w:val="en-US"/>
        </w:rPr>
        <w:t xml:space="preserve">Symantec </w:t>
      </w:r>
      <w:r w:rsidR="00C62928">
        <w:rPr>
          <w:rFonts w:ascii="Times New Roman" w:eastAsia="Times New Roman" w:hAnsi="Times New Roman"/>
          <w:b/>
          <w:lang w:val="ru-RU"/>
        </w:rPr>
        <w:t>и осигуряване на помощ при възникване на кризи</w:t>
      </w:r>
      <w:r w:rsidRPr="009749B3">
        <w:rPr>
          <w:rFonts w:ascii="Times New Roman" w:hAnsi="Times New Roman" w:cs="Times New Roman"/>
        </w:rPr>
        <w:t>.“</w:t>
      </w:r>
    </w:p>
    <w:p w:rsidR="00F956E2" w:rsidRDefault="00F956E2" w:rsidP="00A151BB">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b/>
          <w:lang w:val="en-US"/>
        </w:rPr>
        <w:t>2</w:t>
      </w:r>
      <w:r>
        <w:rPr>
          <w:rFonts w:ascii="Times New Roman" w:eastAsia="Times New Roman" w:hAnsi="Times New Roman" w:cs="Times New Roman"/>
          <w:b/>
        </w:rPr>
        <w:t>. Обект на обществената поръчка</w:t>
      </w:r>
      <w:r>
        <w:rPr>
          <w:rFonts w:ascii="Times New Roman" w:eastAsia="Times New Roman" w:hAnsi="Times New Roman" w:cs="Times New Roman"/>
        </w:rPr>
        <w:t xml:space="preserve"> – услуга.</w:t>
      </w:r>
    </w:p>
    <w:p w:rsidR="009A1A50" w:rsidRDefault="00F956E2">
      <w:pPr>
        <w:spacing w:line="360" w:lineRule="auto"/>
        <w:ind w:firstLine="709"/>
        <w:jc w:val="both"/>
        <w:rPr>
          <w:rFonts w:ascii="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rPr>
        <w:t xml:space="preserve">  </w:t>
      </w:r>
      <w:r>
        <w:rPr>
          <w:rFonts w:ascii="Times New Roman" w:eastAsia="Times New Roman" w:hAnsi="Times New Roman" w:cs="Times New Roman"/>
          <w:b/>
        </w:rPr>
        <w:t>Обществената поръчка включва:</w:t>
      </w:r>
      <w:r>
        <w:rPr>
          <w:rFonts w:ascii="Times New Roman" w:eastAsia="Times New Roman" w:hAnsi="Times New Roman" w:cs="Times New Roman"/>
        </w:rPr>
        <w:t xml:space="preserve"> </w:t>
      </w:r>
      <w:r w:rsidR="009A1A50" w:rsidRPr="009A1A50">
        <w:rPr>
          <w:rFonts w:ascii="Times New Roman" w:hAnsi="Times New Roman" w:cs="Times New Roman"/>
        </w:rPr>
        <w:t xml:space="preserve"> </w:t>
      </w:r>
    </w:p>
    <w:p w:rsidR="0096082D" w:rsidRPr="0096082D" w:rsidRDefault="00A151BB" w:rsidP="005C7E0B">
      <w:pPr>
        <w:widowControl/>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lastRenderedPageBreak/>
        <w:t>3.</w:t>
      </w:r>
      <w:r w:rsidR="0096082D" w:rsidRPr="0096082D">
        <w:rPr>
          <w:rFonts w:ascii="Times New Roman" w:eastAsia="Calibri" w:hAnsi="Times New Roman" w:cs="Times New Roman"/>
          <w:color w:val="auto"/>
          <w:lang w:eastAsia="en-US"/>
        </w:rPr>
        <w:t xml:space="preserve">1. Абонаментна поддръжка на продуктите за защита в състава </w:t>
      </w:r>
      <w:r w:rsidR="0096082D" w:rsidRPr="0096082D">
        <w:rPr>
          <w:rFonts w:ascii="Times New Roman" w:eastAsia="Calibri" w:hAnsi="Times New Roman" w:cs="Times New Roman"/>
          <w:b/>
          <w:color w:val="auto"/>
          <w:lang w:eastAsia="en-US"/>
        </w:rPr>
        <w:t>„</w:t>
      </w:r>
      <w:r w:rsidR="0096082D" w:rsidRPr="0096082D">
        <w:rPr>
          <w:rFonts w:ascii="Times New Roman" w:eastAsia="Calibri" w:hAnsi="Times New Roman" w:cs="Times New Roman"/>
          <w:b/>
          <w:color w:val="auto"/>
          <w:lang w:val="en-GB" w:eastAsia="en-US"/>
        </w:rPr>
        <w:t>Symantec Protection Suite Enterprise Edition</w:t>
      </w:r>
      <w:r w:rsidR="0096082D" w:rsidRPr="0096082D">
        <w:rPr>
          <w:rFonts w:ascii="Times New Roman" w:eastAsia="Calibri" w:hAnsi="Times New Roman" w:cs="Times New Roman"/>
          <w:b/>
          <w:color w:val="auto"/>
          <w:lang w:eastAsia="en-US"/>
        </w:rPr>
        <w:t>“</w:t>
      </w:r>
      <w:r w:rsidR="0096082D" w:rsidRPr="0096082D">
        <w:rPr>
          <w:rFonts w:ascii="Times New Roman" w:eastAsia="Calibri" w:hAnsi="Times New Roman" w:cs="Times New Roman"/>
          <w:color w:val="auto"/>
          <w:lang w:eastAsia="en-US"/>
        </w:rPr>
        <w:t xml:space="preserve"> и количество 900 лиценза. Абонаментната поддръжка включва:</w:t>
      </w:r>
    </w:p>
    <w:p w:rsidR="0096082D" w:rsidRPr="0096082D" w:rsidRDefault="0096082D" w:rsidP="005C7E0B">
      <w:pPr>
        <w:widowControl/>
        <w:spacing w:after="200" w:line="360" w:lineRule="auto"/>
        <w:ind w:firstLine="709"/>
        <w:jc w:val="both"/>
        <w:rPr>
          <w:rFonts w:ascii="Times New Roman" w:eastAsia="Calibri" w:hAnsi="Times New Roman" w:cs="Times New Roman"/>
          <w:color w:val="auto"/>
          <w:lang w:eastAsia="en-US"/>
        </w:rPr>
      </w:pPr>
      <w:r w:rsidRPr="0096082D">
        <w:rPr>
          <w:rFonts w:ascii="Times New Roman" w:eastAsia="Calibri" w:hAnsi="Times New Roman" w:cs="Times New Roman"/>
          <w:color w:val="auto"/>
          <w:lang w:eastAsia="en-US"/>
        </w:rPr>
        <w:t xml:space="preserve">а) безплатно актуализиране на програмните продукти в състава на </w:t>
      </w:r>
      <w:r w:rsidRPr="0096082D">
        <w:rPr>
          <w:rFonts w:ascii="Times New Roman" w:eastAsia="Calibri" w:hAnsi="Times New Roman" w:cs="Times New Roman"/>
          <w:color w:val="auto"/>
          <w:lang w:val="en-GB" w:eastAsia="en-US"/>
        </w:rPr>
        <w:t>Symantec Protection Suite Enterprise Edition</w:t>
      </w:r>
      <w:r w:rsidRPr="0096082D">
        <w:rPr>
          <w:rFonts w:ascii="Times New Roman" w:eastAsia="Calibri" w:hAnsi="Times New Roman" w:cs="Times New Roman"/>
          <w:color w:val="auto"/>
          <w:lang w:eastAsia="en-US"/>
        </w:rPr>
        <w:t xml:space="preserve"> до последната им версия и през целия период на поддръжката, ако през него производителят произведе по-нова версия;</w:t>
      </w:r>
    </w:p>
    <w:p w:rsidR="0096082D" w:rsidRPr="0096082D" w:rsidRDefault="0096082D" w:rsidP="005C7E0B">
      <w:pPr>
        <w:widowControl/>
        <w:spacing w:after="200" w:line="360" w:lineRule="auto"/>
        <w:ind w:firstLine="709"/>
        <w:jc w:val="both"/>
        <w:rPr>
          <w:rFonts w:ascii="Times New Roman" w:eastAsia="Calibri" w:hAnsi="Times New Roman" w:cs="Times New Roman"/>
          <w:color w:val="auto"/>
          <w:lang w:val="en-US" w:eastAsia="en-US"/>
        </w:rPr>
      </w:pPr>
      <w:r w:rsidRPr="0096082D">
        <w:rPr>
          <w:rFonts w:ascii="Times New Roman" w:eastAsia="Calibri" w:hAnsi="Times New Roman" w:cs="Times New Roman"/>
          <w:color w:val="auto"/>
          <w:lang w:eastAsia="en-US"/>
        </w:rPr>
        <w:t>б) актуализация на всички компоненти на антивирусните продукти – самата програма, вирусни дефиниции и сканиращите алгоритми</w:t>
      </w:r>
      <w:r w:rsidRPr="0096082D">
        <w:rPr>
          <w:rFonts w:ascii="Times New Roman" w:eastAsia="Calibri" w:hAnsi="Times New Roman" w:cs="Times New Roman"/>
          <w:color w:val="auto"/>
          <w:lang w:val="en-US" w:eastAsia="en-US"/>
        </w:rPr>
        <w:t>;</w:t>
      </w:r>
    </w:p>
    <w:p w:rsidR="0096082D" w:rsidRPr="0096082D" w:rsidRDefault="0096082D" w:rsidP="005C7E0B">
      <w:pPr>
        <w:widowControl/>
        <w:spacing w:after="200" w:line="360" w:lineRule="auto"/>
        <w:ind w:firstLine="709"/>
        <w:jc w:val="both"/>
        <w:rPr>
          <w:rFonts w:ascii="Times New Roman" w:eastAsia="Calibri" w:hAnsi="Times New Roman" w:cs="Times New Roman"/>
          <w:color w:val="auto"/>
          <w:lang w:val="en-US" w:eastAsia="en-US"/>
        </w:rPr>
      </w:pPr>
      <w:r w:rsidRPr="0096082D">
        <w:rPr>
          <w:rFonts w:ascii="Times New Roman" w:eastAsia="Calibri" w:hAnsi="Times New Roman" w:cs="Times New Roman"/>
          <w:color w:val="auto"/>
          <w:lang w:eastAsia="en-US"/>
        </w:rPr>
        <w:t>в) право на достъп до ресурсите по поддръжка на производителя, съгласно общите условия на поддръжката</w:t>
      </w:r>
      <w:r w:rsidRPr="0096082D">
        <w:rPr>
          <w:rFonts w:ascii="Times New Roman" w:eastAsia="Calibri" w:hAnsi="Times New Roman" w:cs="Times New Roman"/>
          <w:color w:val="auto"/>
          <w:lang w:val="en-US" w:eastAsia="en-US"/>
        </w:rPr>
        <w:t>;</w:t>
      </w:r>
    </w:p>
    <w:p w:rsidR="0096082D" w:rsidRPr="0096082D" w:rsidRDefault="00A151BB" w:rsidP="00A151BB">
      <w:pPr>
        <w:widowControl/>
        <w:spacing w:after="200" w:line="360" w:lineRule="auto"/>
        <w:ind w:firstLine="708"/>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3.</w:t>
      </w:r>
      <w:r w:rsidR="0096082D" w:rsidRPr="0096082D">
        <w:rPr>
          <w:rFonts w:ascii="Times New Roman" w:eastAsia="Calibri" w:hAnsi="Times New Roman" w:cs="Times New Roman"/>
          <w:color w:val="auto"/>
          <w:lang w:eastAsia="en-US"/>
        </w:rPr>
        <w:t>2.</w:t>
      </w:r>
      <w:r w:rsidR="0096082D" w:rsidRPr="0096082D">
        <w:rPr>
          <w:rFonts w:ascii="Times New Roman" w:eastAsia="Calibri" w:hAnsi="Times New Roman" w:cs="Times New Roman"/>
          <w:b/>
          <w:color w:val="auto"/>
          <w:lang w:eastAsia="en-US"/>
        </w:rPr>
        <w:t xml:space="preserve"> </w:t>
      </w:r>
      <w:r w:rsidR="0096082D" w:rsidRPr="0096082D">
        <w:rPr>
          <w:rFonts w:ascii="Times New Roman" w:eastAsia="Calibri" w:hAnsi="Times New Roman" w:cs="Times New Roman"/>
          <w:color w:val="auto"/>
          <w:lang w:eastAsia="en-US"/>
        </w:rPr>
        <w:t xml:space="preserve">Абонаментна поддръжка </w:t>
      </w:r>
      <w:r w:rsidRPr="00A151BB">
        <w:rPr>
          <w:rFonts w:ascii="Times New Roman" w:eastAsia="Calibri" w:hAnsi="Times New Roman" w:cs="Times New Roman"/>
          <w:color w:val="auto"/>
          <w:lang w:eastAsia="en-US"/>
        </w:rPr>
        <w:t>на продуктите за защита в състава</w:t>
      </w:r>
      <w:r w:rsidRPr="00CA27D4" w:rsidDel="00CA27D4">
        <w:t xml:space="preserve"> </w:t>
      </w:r>
      <w:r w:rsidR="0096082D" w:rsidRPr="0096082D">
        <w:rPr>
          <w:rFonts w:ascii="Times New Roman" w:eastAsia="Calibri" w:hAnsi="Times New Roman" w:cs="Times New Roman"/>
          <w:color w:val="auto"/>
          <w:lang w:val="en-GB" w:eastAsia="en-US"/>
        </w:rPr>
        <w:t>Symantec Ghost Solution Suite</w:t>
      </w:r>
      <w:r w:rsidR="0096082D" w:rsidRPr="0096082D">
        <w:rPr>
          <w:rFonts w:ascii="Times New Roman" w:eastAsia="Calibri" w:hAnsi="Times New Roman" w:cs="Times New Roman"/>
          <w:color w:val="auto"/>
          <w:lang w:eastAsia="en-US"/>
        </w:rPr>
        <w:t xml:space="preserve"> и количество 10 лиценза. Абонаментната поддръжка включва:</w:t>
      </w:r>
    </w:p>
    <w:p w:rsidR="0096082D" w:rsidRPr="0096082D" w:rsidRDefault="0096082D" w:rsidP="00A151BB">
      <w:pPr>
        <w:widowControl/>
        <w:spacing w:line="360" w:lineRule="auto"/>
        <w:contextualSpacing/>
        <w:jc w:val="both"/>
        <w:rPr>
          <w:rFonts w:ascii="Times New Roman" w:eastAsia="Times New Roman" w:hAnsi="Times New Roman" w:cs="Times New Roman"/>
          <w:color w:val="auto"/>
        </w:rPr>
      </w:pPr>
      <w:r w:rsidRPr="0096082D">
        <w:rPr>
          <w:rFonts w:ascii="Times New Roman" w:eastAsia="Times New Roman" w:hAnsi="Times New Roman" w:cs="Times New Roman"/>
          <w:color w:val="auto"/>
        </w:rPr>
        <w:tab/>
        <w:t>а) безплатна актуализация на програмния продукт до последната му версия към момента на сключване на договора и през целия период на поддръжката, ако през него производителят произведе по-нова версия;</w:t>
      </w:r>
    </w:p>
    <w:p w:rsidR="0096082D" w:rsidRDefault="0096082D" w:rsidP="0096082D">
      <w:pPr>
        <w:widowControl/>
        <w:tabs>
          <w:tab w:val="left" w:pos="709"/>
        </w:tabs>
        <w:spacing w:line="360" w:lineRule="auto"/>
        <w:contextualSpacing/>
        <w:jc w:val="both"/>
        <w:rPr>
          <w:rFonts w:ascii="Times New Roman" w:eastAsia="Times New Roman" w:hAnsi="Times New Roman" w:cs="Times New Roman"/>
          <w:color w:val="auto"/>
        </w:rPr>
      </w:pPr>
      <w:r w:rsidRPr="0096082D">
        <w:rPr>
          <w:rFonts w:ascii="Times New Roman" w:eastAsia="Times New Roman" w:hAnsi="Times New Roman" w:cs="Times New Roman"/>
          <w:color w:val="auto"/>
        </w:rPr>
        <w:tab/>
        <w:t>б) право на достъп до ресурсите по поддръжка на производителя, съгласно общите условия на поддръжката</w:t>
      </w:r>
      <w:r w:rsidR="00BC34CD">
        <w:rPr>
          <w:rFonts w:ascii="Times New Roman" w:eastAsia="Times New Roman" w:hAnsi="Times New Roman" w:cs="Times New Roman"/>
          <w:color w:val="auto"/>
        </w:rPr>
        <w:t>;</w:t>
      </w:r>
    </w:p>
    <w:p w:rsidR="00BC34CD" w:rsidRPr="0096082D" w:rsidRDefault="00BC34CD" w:rsidP="0096082D">
      <w:pPr>
        <w:widowControl/>
        <w:tabs>
          <w:tab w:val="left" w:pos="709"/>
        </w:tabs>
        <w:spacing w:line="360" w:lineRule="auto"/>
        <w:contextualSpacing/>
        <w:jc w:val="both"/>
        <w:rPr>
          <w:rFonts w:ascii="Times New Roman" w:eastAsia="Times New Roman" w:hAnsi="Times New Roman" w:cs="Times New Roman"/>
          <w:color w:val="auto"/>
        </w:rPr>
      </w:pPr>
    </w:p>
    <w:p w:rsidR="0096082D" w:rsidRDefault="00A151BB" w:rsidP="0096082D">
      <w:pPr>
        <w:spacing w:line="360" w:lineRule="auto"/>
        <w:ind w:firstLine="709"/>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3.</w:t>
      </w:r>
      <w:r w:rsidR="0096082D" w:rsidRPr="0096082D">
        <w:rPr>
          <w:rFonts w:ascii="Times New Roman" w:eastAsia="Calibri" w:hAnsi="Times New Roman" w:cs="Times New Roman"/>
          <w:color w:val="auto"/>
          <w:lang w:eastAsia="en-US"/>
        </w:rPr>
        <w:t>3.</w:t>
      </w:r>
      <w:r w:rsidR="0096082D" w:rsidRPr="0096082D">
        <w:rPr>
          <w:rFonts w:ascii="Times New Roman" w:eastAsia="Calibri" w:hAnsi="Times New Roman" w:cs="Times New Roman"/>
          <w:b/>
          <w:color w:val="auto"/>
          <w:spacing w:val="7"/>
          <w:lang w:eastAsia="en-US"/>
        </w:rPr>
        <w:t xml:space="preserve"> </w:t>
      </w:r>
      <w:r w:rsidR="0096082D" w:rsidRPr="0096082D">
        <w:rPr>
          <w:rFonts w:ascii="Times New Roman" w:eastAsia="Calibri" w:hAnsi="Times New Roman" w:cs="Times New Roman"/>
          <w:color w:val="auto"/>
          <w:lang w:eastAsia="en-US"/>
        </w:rPr>
        <w:t xml:space="preserve">Помощ в случай на възникване на кризи чрез включване на експерти на </w:t>
      </w:r>
      <w:r w:rsidR="0096082D" w:rsidRPr="0096082D">
        <w:rPr>
          <w:rFonts w:ascii="Times New Roman" w:eastAsia="Calibri" w:hAnsi="Times New Roman" w:cs="Times New Roman"/>
          <w:b/>
          <w:color w:val="auto"/>
          <w:lang w:eastAsia="en-US"/>
        </w:rPr>
        <w:t>ИЗПЪЛНИТЕЛЯ</w:t>
      </w:r>
      <w:r w:rsidR="0096082D" w:rsidRPr="0096082D">
        <w:rPr>
          <w:rFonts w:ascii="Times New Roman" w:eastAsia="Calibri" w:hAnsi="Times New Roman" w:cs="Times New Roman"/>
          <w:color w:val="auto"/>
          <w:lang w:eastAsia="en-US"/>
        </w:rPr>
        <w:t>.</w:t>
      </w:r>
    </w:p>
    <w:p w:rsidR="009A1A50" w:rsidRDefault="00F956E2" w:rsidP="0096082D">
      <w:pPr>
        <w:spacing w:line="360" w:lineRule="auto"/>
        <w:ind w:firstLine="709"/>
        <w:jc w:val="both"/>
        <w:rPr>
          <w:rFonts w:ascii="Times New Roman" w:hAnsi="Times New Roman"/>
        </w:rPr>
      </w:pPr>
      <w:r>
        <w:rPr>
          <w:rFonts w:ascii="Times New Roman" w:hAnsi="Times New Roman"/>
        </w:rPr>
        <w:t xml:space="preserve">Участниците в обществената поръчка трябва да предложат услуга, която отговаря на изискванията на възложителя, посочени в Техническата спецификация – Приложение № 1. </w:t>
      </w:r>
    </w:p>
    <w:p w:rsidR="00BC34CD" w:rsidRDefault="00BC34CD" w:rsidP="0096082D">
      <w:pPr>
        <w:spacing w:line="360" w:lineRule="auto"/>
        <w:ind w:firstLine="709"/>
        <w:jc w:val="both"/>
        <w:rPr>
          <w:rFonts w:ascii="Times New Roman" w:hAnsi="Times New Roman"/>
        </w:rPr>
      </w:pPr>
    </w:p>
    <w:p w:rsidR="00A151BB" w:rsidRPr="005C7E0B" w:rsidRDefault="00F956E2" w:rsidP="005C7E0B">
      <w:pPr>
        <w:shd w:val="clear" w:color="auto" w:fill="FFFFFF"/>
        <w:spacing w:line="360" w:lineRule="auto"/>
        <w:ind w:right="17" w:firstLine="709"/>
        <w:jc w:val="both"/>
        <w:rPr>
          <w:rFonts w:ascii="Times New Roman" w:hAnsi="Times New Roman"/>
        </w:rPr>
      </w:pPr>
      <w:r w:rsidRPr="00A151BB">
        <w:rPr>
          <w:rStyle w:val="StyleClause2BoldChar"/>
          <w:rFonts w:ascii="Times New Roman" w:hAnsi="Times New Roman"/>
          <w:bCs/>
        </w:rPr>
        <w:t>4</w:t>
      </w:r>
      <w:r w:rsidRPr="005C7E0B">
        <w:rPr>
          <w:rStyle w:val="StyleClause2BoldChar"/>
          <w:rFonts w:ascii="Times New Roman" w:hAnsi="Times New Roman"/>
          <w:bCs/>
        </w:rPr>
        <w:t xml:space="preserve">. Срок за изпълнение </w:t>
      </w:r>
      <w:r w:rsidR="00BC34CD">
        <w:rPr>
          <w:rStyle w:val="StyleClause2BoldChar"/>
          <w:rFonts w:ascii="Times New Roman" w:hAnsi="Times New Roman"/>
          <w:bCs/>
        </w:rPr>
        <w:t xml:space="preserve">- </w:t>
      </w:r>
      <w:r w:rsidR="00A151BB" w:rsidRPr="005C7E0B">
        <w:rPr>
          <w:rFonts w:ascii="Times New Roman" w:hAnsi="Times New Roman"/>
        </w:rPr>
        <w:t xml:space="preserve">Договорът влиза в сила от датата на подписването му от двете страни, която е посочена в деловодния номер на </w:t>
      </w:r>
      <w:r w:rsidR="00A151BB" w:rsidRPr="00A151BB">
        <w:rPr>
          <w:rFonts w:ascii="Times New Roman" w:hAnsi="Times New Roman"/>
        </w:rPr>
        <w:t>възложителя</w:t>
      </w:r>
      <w:r w:rsidR="00A151BB" w:rsidRPr="005C7E0B">
        <w:rPr>
          <w:rFonts w:ascii="Times New Roman" w:hAnsi="Times New Roman"/>
        </w:rPr>
        <w:t>.</w:t>
      </w:r>
      <w:r w:rsidR="00A151BB">
        <w:rPr>
          <w:rFonts w:ascii="Times New Roman" w:hAnsi="Times New Roman"/>
        </w:rPr>
        <w:t xml:space="preserve"> </w:t>
      </w:r>
      <w:r w:rsidR="00A151BB" w:rsidRPr="005C7E0B">
        <w:rPr>
          <w:rFonts w:ascii="Times New Roman" w:hAnsi="Times New Roman"/>
        </w:rPr>
        <w:t xml:space="preserve">Услугите по т. 3, 3.1, 3.2 и 3.3 се предоставят за срок от 1 (една) година, считано от 13.04.2018 г. В случай, че страните подпишат договора след посочената дата, договорът влиза в сила от датата на подписването му. Датата на подписване е датата, посочена в деловодния номер на </w:t>
      </w:r>
      <w:r w:rsidR="00A151BB" w:rsidRPr="00A151BB">
        <w:rPr>
          <w:rFonts w:ascii="Times New Roman" w:hAnsi="Times New Roman"/>
        </w:rPr>
        <w:t>възложителя</w:t>
      </w:r>
      <w:r w:rsidR="00A151BB" w:rsidRPr="005C7E0B">
        <w:rPr>
          <w:rFonts w:ascii="Times New Roman" w:hAnsi="Times New Roman"/>
        </w:rPr>
        <w:t>.</w:t>
      </w:r>
    </w:p>
    <w:p w:rsidR="00F956E2" w:rsidRDefault="00F956E2" w:rsidP="00F956E2">
      <w:pPr>
        <w:pStyle w:val="Clause2"/>
        <w:numPr>
          <w:ilvl w:val="0"/>
          <w:numId w:val="0"/>
        </w:numPr>
        <w:tabs>
          <w:tab w:val="num" w:pos="709"/>
        </w:tabs>
        <w:spacing w:before="0" w:after="0" w:line="360" w:lineRule="auto"/>
        <w:ind w:firstLine="709"/>
        <w:rPr>
          <w:rStyle w:val="Bodytext2Bold1"/>
          <w:rFonts w:eastAsia="Times New Roman"/>
          <w:b w:val="0"/>
          <w:szCs w:val="24"/>
        </w:rPr>
      </w:pPr>
      <w:r>
        <w:rPr>
          <w:rStyle w:val="Bodytext2Bold1"/>
          <w:bCs/>
        </w:rPr>
        <w:lastRenderedPageBreak/>
        <w:t xml:space="preserve">5. Прогнозна стойност </w:t>
      </w:r>
      <w:r w:rsidR="0096082D">
        <w:rPr>
          <w:rFonts w:ascii="Times New Roman" w:hAnsi="Times New Roman"/>
        </w:rPr>
        <w:t>– до 56</w:t>
      </w:r>
      <w:r>
        <w:rPr>
          <w:rFonts w:ascii="Times New Roman" w:hAnsi="Times New Roman"/>
        </w:rPr>
        <w:t xml:space="preserve"> 000 лв. (петдесет </w:t>
      </w:r>
      <w:r w:rsidR="0096082D">
        <w:rPr>
          <w:rFonts w:ascii="Times New Roman" w:hAnsi="Times New Roman"/>
        </w:rPr>
        <w:t>и шест</w:t>
      </w:r>
      <w:r w:rsidR="009A1A50">
        <w:rPr>
          <w:rFonts w:ascii="Times New Roman" w:hAnsi="Times New Roman"/>
        </w:rPr>
        <w:t xml:space="preserve"> </w:t>
      </w:r>
      <w:r>
        <w:rPr>
          <w:rFonts w:ascii="Times New Roman" w:hAnsi="Times New Roman"/>
        </w:rPr>
        <w:t>хиляди) лева без ДДС.</w:t>
      </w:r>
      <w:r>
        <w:rPr>
          <w:rFonts w:ascii="Times New Roman" w:eastAsia="Times New Roman" w:hAnsi="Times New Roman"/>
          <w:szCs w:val="24"/>
        </w:rPr>
        <w:t xml:space="preserve"> </w:t>
      </w:r>
      <w:r w:rsidRPr="00A151BB">
        <w:rPr>
          <w:rFonts w:ascii="Times New Roman" w:eastAsia="Times New Roman" w:hAnsi="Times New Roman"/>
          <w:szCs w:val="24"/>
        </w:rPr>
        <w:t xml:space="preserve">Стойността е крайна и не може да се надвишава. </w:t>
      </w:r>
      <w:r w:rsidR="00C03C7F" w:rsidRPr="00D11205">
        <w:rPr>
          <w:rFonts w:ascii="Times New Roman" w:eastAsia="Times New Roman" w:hAnsi="Times New Roman"/>
          <w:color w:val="000000"/>
          <w:szCs w:val="24"/>
          <w:lang w:eastAsia="bg-BG"/>
        </w:rPr>
        <w:t>Участник, който предложи цена, надвишаваща прогнозната стойност на поръчката, ще бъде отстранен от участие.</w:t>
      </w:r>
    </w:p>
    <w:p w:rsidR="00F956E2" w:rsidRDefault="00F956E2" w:rsidP="00F956E2">
      <w:pPr>
        <w:pStyle w:val="Bodytext21"/>
        <w:shd w:val="clear" w:color="auto" w:fill="auto"/>
        <w:tabs>
          <w:tab w:val="left" w:pos="0"/>
          <w:tab w:val="left" w:pos="426"/>
        </w:tabs>
        <w:spacing w:after="0" w:line="360" w:lineRule="auto"/>
        <w:ind w:firstLine="737"/>
        <w:rPr>
          <w:rFonts w:eastAsia="Microsoft Sans Serif" w:cs="Microsoft Sans Serif"/>
        </w:rPr>
      </w:pPr>
      <w:r>
        <w:rPr>
          <w:rStyle w:val="Bodytext2Bold1"/>
          <w:rFonts w:cs="Microsoft Sans Serif"/>
          <w:bCs/>
          <w:szCs w:val="24"/>
        </w:rPr>
        <w:t xml:space="preserve">6. Критерий за оценка на офертите </w:t>
      </w:r>
      <w:r>
        <w:rPr>
          <w:sz w:val="24"/>
          <w:szCs w:val="24"/>
        </w:rPr>
        <w:t>- обществената поръчка се възлага въз основа на  икономически най-изгодната оферта въз основа на критерий за оценка – „най-ниска цена“.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p>
    <w:p w:rsidR="00F956E2" w:rsidRDefault="00F956E2" w:rsidP="00F956E2">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sz w:val="24"/>
          <w:szCs w:val="24"/>
        </w:rPr>
      </w:pPr>
      <w:bookmarkStart w:id="6" w:name="bookmark17"/>
      <w:r>
        <w:rPr>
          <w:sz w:val="24"/>
          <w:szCs w:val="24"/>
        </w:rPr>
        <w:t>ПРЕДСТАВЯНЕ НА ОФЕРТА, НЕОБХОДИМИ ДОКУМЕНТИ И ИЗИСКВАНИЯ КЪМ ТЯХ</w:t>
      </w:r>
      <w:bookmarkEnd w:id="6"/>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shd w:val="clear" w:color="auto" w:fill="FFFFFF"/>
        </w:rPr>
        <w:t>Важно!!!</w:t>
      </w:r>
      <w:r>
        <w:rPr>
          <w:i/>
          <w:sz w:val="24"/>
          <w:szCs w:val="24"/>
          <w:shd w:val="clear" w:color="auto" w:fill="FFFFFF"/>
        </w:rPr>
        <w:t xml:space="preserve"> </w:t>
      </w:r>
      <w:r>
        <w:rPr>
          <w:sz w:val="24"/>
          <w:szCs w:val="24"/>
        </w:rPr>
        <w:t xml:space="preserve">1. </w:t>
      </w:r>
      <w:r>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rsidR="00F956E2" w:rsidRDefault="00F956E2" w:rsidP="00F956E2">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поръчката;</w:t>
      </w:r>
    </w:p>
    <w:p w:rsidR="00F956E2" w:rsidRDefault="00F956E2" w:rsidP="00F956E2">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участника;</w:t>
      </w:r>
    </w:p>
    <w:p w:rsidR="00F956E2" w:rsidRDefault="00F956E2" w:rsidP="00F956E2">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 xml:space="preserve">адрес за кореспонденция, по възможност телефон, факс и/или </w:t>
      </w:r>
      <w:proofErr w:type="spellStart"/>
      <w:r>
        <w:rPr>
          <w:sz w:val="24"/>
          <w:szCs w:val="24"/>
        </w:rPr>
        <w:t>e-mail</w:t>
      </w:r>
      <w:proofErr w:type="spellEnd"/>
      <w:r>
        <w:rPr>
          <w:sz w:val="24"/>
          <w:szCs w:val="24"/>
        </w:rPr>
        <w:t>;</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 xml:space="preserve">Върху опаковката не се поставят никакви други обозначения.  </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rsidR="00F956E2" w:rsidRDefault="00F956E2" w:rsidP="00F956E2">
      <w:pPr>
        <w:pStyle w:val="Bodytext21"/>
        <w:shd w:val="clear" w:color="auto" w:fill="auto"/>
        <w:tabs>
          <w:tab w:val="left" w:pos="0"/>
          <w:tab w:val="left" w:pos="993"/>
        </w:tabs>
        <w:spacing w:after="0" w:line="360" w:lineRule="auto"/>
        <w:ind w:firstLine="709"/>
        <w:rPr>
          <w:sz w:val="24"/>
          <w:szCs w:val="24"/>
        </w:rPr>
      </w:pPr>
      <w:r>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Pr>
          <w:b/>
          <w:sz w:val="24"/>
          <w:szCs w:val="24"/>
        </w:rPr>
        <w:t>15:45 часа</w:t>
      </w:r>
      <w:r>
        <w:rPr>
          <w:sz w:val="24"/>
          <w:szCs w:val="24"/>
        </w:rPr>
        <w:t xml:space="preserve"> </w:t>
      </w:r>
      <w:r>
        <w:rPr>
          <w:b/>
          <w:sz w:val="24"/>
          <w:szCs w:val="24"/>
        </w:rPr>
        <w:t>на датата, посочена в обявата.</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rsidR="00F956E2" w:rsidRPr="00780165" w:rsidRDefault="00F956E2" w:rsidP="00F956E2">
      <w:pPr>
        <w:pStyle w:val="Bodytext21"/>
        <w:numPr>
          <w:ilvl w:val="0"/>
          <w:numId w:val="4"/>
        </w:numPr>
        <w:shd w:val="clear" w:color="auto" w:fill="auto"/>
        <w:tabs>
          <w:tab w:val="left" w:pos="0"/>
          <w:tab w:val="left" w:pos="426"/>
          <w:tab w:val="left" w:pos="993"/>
        </w:tabs>
        <w:spacing w:after="0" w:line="360" w:lineRule="auto"/>
        <w:ind w:left="0" w:firstLine="709"/>
        <w:rPr>
          <w:sz w:val="24"/>
          <w:szCs w:val="24"/>
        </w:rPr>
      </w:pPr>
      <w:r>
        <w:rPr>
          <w:rStyle w:val="Bodytext2Bold1"/>
          <w:rFonts w:cs="Microsoft Sans Serif"/>
          <w:bCs/>
          <w:szCs w:val="24"/>
        </w:rPr>
        <w:t xml:space="preserve">Срокът на валидност на офертите следва да е </w:t>
      </w:r>
      <w:r w:rsidRPr="00780165">
        <w:rPr>
          <w:rStyle w:val="Bodytext2Bold1"/>
          <w:rFonts w:cs="Microsoft Sans Serif"/>
          <w:bCs/>
          <w:szCs w:val="24"/>
        </w:rPr>
        <w:t xml:space="preserve">до </w:t>
      </w:r>
      <w:r w:rsidRPr="00780165">
        <w:rPr>
          <w:rFonts w:eastAsia="Times New Roman"/>
          <w:sz w:val="24"/>
          <w:szCs w:val="24"/>
        </w:rPr>
        <w:t xml:space="preserve">15:45 на </w:t>
      </w:r>
      <w:r w:rsidR="00780165" w:rsidRPr="00780165">
        <w:rPr>
          <w:rStyle w:val="Bodytext2Bold1"/>
          <w:rFonts w:cs="Microsoft Sans Serif"/>
          <w:b w:val="0"/>
          <w:bCs/>
          <w:szCs w:val="24"/>
        </w:rPr>
        <w:t>30</w:t>
      </w:r>
      <w:r w:rsidRPr="00780165">
        <w:rPr>
          <w:rStyle w:val="Bodytext2Bold1"/>
          <w:rFonts w:cs="Microsoft Sans Serif"/>
          <w:b w:val="0"/>
          <w:bCs/>
          <w:szCs w:val="24"/>
        </w:rPr>
        <w:t>.</w:t>
      </w:r>
      <w:r w:rsidR="00780165" w:rsidRPr="00780165">
        <w:rPr>
          <w:bCs/>
          <w:iCs/>
          <w:sz w:val="24"/>
          <w:szCs w:val="24"/>
        </w:rPr>
        <w:t>05</w:t>
      </w:r>
      <w:r w:rsidR="0096082D">
        <w:rPr>
          <w:bCs/>
          <w:iCs/>
          <w:sz w:val="24"/>
          <w:szCs w:val="24"/>
        </w:rPr>
        <w:t>.2018</w:t>
      </w:r>
      <w:r w:rsidRPr="00780165">
        <w:rPr>
          <w:bCs/>
          <w:iCs/>
          <w:sz w:val="24"/>
          <w:szCs w:val="24"/>
        </w:rPr>
        <w:t xml:space="preserve"> г.</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rsidR="00F956E2" w:rsidRDefault="00F956E2" w:rsidP="00F956E2">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Pr>
          <w:sz w:val="24"/>
          <w:szCs w:val="24"/>
          <w:shd w:val="clear" w:color="auto" w:fill="FFFFFF"/>
        </w:rPr>
        <w:lastRenderedPageBreak/>
        <w:t>Важно!!!</w:t>
      </w:r>
      <w:r>
        <w:rPr>
          <w:i/>
          <w:sz w:val="24"/>
          <w:szCs w:val="24"/>
          <w:shd w:val="clear" w:color="auto" w:fill="FFFFFF"/>
        </w:rPr>
        <w:t xml:space="preserve"> </w:t>
      </w:r>
      <w:r>
        <w:rPr>
          <w:b w:val="0"/>
          <w:sz w:val="24"/>
          <w:szCs w:val="24"/>
        </w:rPr>
        <w:t>3.</w:t>
      </w:r>
      <w:r>
        <w:rPr>
          <w:sz w:val="24"/>
          <w:szCs w:val="24"/>
        </w:rPr>
        <w:t xml:space="preserve"> Съдържание на офертата:</w:t>
      </w:r>
      <w:bookmarkEnd w:id="7"/>
      <w:r>
        <w:rPr>
          <w:b w:val="0"/>
          <w:sz w:val="24"/>
          <w:szCs w:val="24"/>
        </w:rPr>
        <w:tab/>
      </w:r>
    </w:p>
    <w:p w:rsidR="00F956E2" w:rsidRDefault="00F956E2" w:rsidP="00F956E2">
      <w:pPr>
        <w:pStyle w:val="Heading61"/>
        <w:keepNext/>
        <w:keepLines/>
        <w:shd w:val="clear" w:color="auto" w:fill="auto"/>
        <w:tabs>
          <w:tab w:val="left" w:pos="0"/>
          <w:tab w:val="left" w:pos="426"/>
        </w:tabs>
        <w:spacing w:before="0" w:line="360" w:lineRule="auto"/>
        <w:ind w:firstLine="737"/>
        <w:outlineLvl w:val="9"/>
        <w:rPr>
          <w:b w:val="0"/>
          <w:sz w:val="24"/>
          <w:szCs w:val="24"/>
        </w:rPr>
      </w:pPr>
      <w:r>
        <w:rPr>
          <w:b w:val="0"/>
          <w:sz w:val="24"/>
          <w:szCs w:val="24"/>
        </w:rPr>
        <w:t xml:space="preserve">3.1. </w:t>
      </w:r>
      <w:r>
        <w:rPr>
          <w:sz w:val="24"/>
          <w:szCs w:val="24"/>
        </w:rPr>
        <w:t xml:space="preserve">Опис на предлаганите документи съдържащи се в офертата </w:t>
      </w:r>
      <w:r>
        <w:rPr>
          <w:b w:val="0"/>
          <w:sz w:val="24"/>
          <w:szCs w:val="24"/>
        </w:rPr>
        <w:t>(свободен текст)</w:t>
      </w:r>
    </w:p>
    <w:p w:rsidR="00F956E2" w:rsidRDefault="00F956E2" w:rsidP="00F956E2">
      <w:pPr>
        <w:pStyle w:val="Heading61"/>
        <w:keepNext/>
        <w:keepLines/>
        <w:shd w:val="clear" w:color="auto" w:fill="auto"/>
        <w:tabs>
          <w:tab w:val="left" w:pos="0"/>
          <w:tab w:val="left" w:pos="426"/>
        </w:tabs>
        <w:spacing w:before="0" w:line="360" w:lineRule="auto"/>
        <w:ind w:firstLine="737"/>
        <w:outlineLvl w:val="9"/>
        <w:rPr>
          <w:b w:val="0"/>
          <w:sz w:val="24"/>
          <w:szCs w:val="24"/>
        </w:rPr>
      </w:pPr>
      <w:r>
        <w:rPr>
          <w:b w:val="0"/>
          <w:sz w:val="24"/>
          <w:szCs w:val="24"/>
        </w:rPr>
        <w:t>3.2.</w:t>
      </w:r>
      <w:r>
        <w:rPr>
          <w:i/>
          <w:sz w:val="24"/>
          <w:szCs w:val="24"/>
        </w:rPr>
        <w:t xml:space="preserve"> </w:t>
      </w:r>
      <w:r>
        <w:rPr>
          <w:sz w:val="24"/>
          <w:szCs w:val="24"/>
        </w:rPr>
        <w:t>Представяне на участника – по образец, с включени следните приложения</w:t>
      </w:r>
      <w:r>
        <w:rPr>
          <w:rStyle w:val="Bodytext20"/>
          <w:rFonts w:cs="Microsoft Sans Serif"/>
          <w:szCs w:val="24"/>
        </w:rPr>
        <w:t>:</w:t>
      </w:r>
    </w:p>
    <w:p w:rsidR="00F956E2" w:rsidRDefault="00F956E2" w:rsidP="00F956E2">
      <w:pPr>
        <w:pStyle w:val="Bodytext21"/>
        <w:numPr>
          <w:ilvl w:val="2"/>
          <w:numId w:val="5"/>
        </w:numPr>
        <w:shd w:val="clear" w:color="auto" w:fill="auto"/>
        <w:tabs>
          <w:tab w:val="left" w:pos="0"/>
          <w:tab w:val="left" w:pos="90"/>
          <w:tab w:val="left" w:pos="426"/>
          <w:tab w:val="left" w:pos="1134"/>
        </w:tabs>
        <w:spacing w:after="0" w:line="360" w:lineRule="auto"/>
        <w:ind w:left="0" w:firstLine="709"/>
        <w:rPr>
          <w:rStyle w:val="Bodytext2Italic"/>
          <w:rFonts w:cs="Microsoft Sans Serif"/>
          <w:i w:val="0"/>
        </w:rPr>
      </w:pPr>
      <w:r>
        <w:rPr>
          <w:rStyle w:val="Bodytext2Italic"/>
          <w:rFonts w:cs="Microsoft Sans Serif"/>
          <w:b/>
          <w:iCs/>
          <w:szCs w:val="24"/>
        </w:rPr>
        <w:t>Пълномощно</w:t>
      </w:r>
      <w:r>
        <w:rPr>
          <w:rStyle w:val="Bodytext22"/>
          <w:rFonts w:cs="Microsoft Sans Serif"/>
          <w:b/>
          <w:szCs w:val="24"/>
        </w:rPr>
        <w:t xml:space="preserve"> </w:t>
      </w:r>
      <w:r>
        <w:rPr>
          <w:b/>
          <w:sz w:val="24"/>
          <w:szCs w:val="24"/>
        </w:rPr>
        <w:t>на лицето, упълномощено да представлява участника в обществената поръчка, когато участникът не се представлява от лицата, посочени със съответните правомощия в документа за регистрация</w:t>
      </w:r>
      <w:r>
        <w:rPr>
          <w:sz w:val="24"/>
          <w:szCs w:val="24"/>
        </w:rPr>
        <w:t xml:space="preserve"> </w:t>
      </w:r>
      <w:r>
        <w:rPr>
          <w:rStyle w:val="Bodytext2Italic"/>
          <w:rFonts w:cs="Microsoft Sans Serif"/>
          <w:iCs/>
          <w:szCs w:val="24"/>
        </w:rPr>
        <w:t>(представя се ако е приложимо);</w:t>
      </w:r>
    </w:p>
    <w:p w:rsidR="00F956E2" w:rsidRDefault="00F956E2" w:rsidP="00F956E2">
      <w:pPr>
        <w:pStyle w:val="Bodytext21"/>
        <w:numPr>
          <w:ilvl w:val="2"/>
          <w:numId w:val="5"/>
        </w:numPr>
        <w:shd w:val="clear" w:color="auto" w:fill="auto"/>
        <w:tabs>
          <w:tab w:val="left" w:pos="0"/>
          <w:tab w:val="left" w:pos="90"/>
          <w:tab w:val="left" w:pos="426"/>
          <w:tab w:val="left" w:pos="1134"/>
        </w:tabs>
        <w:spacing w:after="0" w:line="360" w:lineRule="auto"/>
        <w:ind w:left="0" w:firstLine="709"/>
        <w:rPr>
          <w:rStyle w:val="Bodytext6NotItalic1"/>
          <w:rFonts w:cs="Microsoft Sans Serif"/>
          <w:i w:val="0"/>
        </w:rPr>
      </w:pPr>
      <w:r>
        <w:rPr>
          <w:sz w:val="24"/>
          <w:szCs w:val="24"/>
        </w:rPr>
        <w:t>Копие на документ за самоличност –</w:t>
      </w:r>
      <w:r>
        <w:rPr>
          <w:rStyle w:val="Bodytext6NotItalic"/>
          <w:rFonts w:cs="Microsoft Sans Serif"/>
          <w:iCs/>
          <w:szCs w:val="24"/>
        </w:rPr>
        <w:t xml:space="preserve"> </w:t>
      </w:r>
      <w:r>
        <w:rPr>
          <w:rStyle w:val="Bodytext6NotItalic1"/>
          <w:rFonts w:cs="Microsoft Sans Serif"/>
          <w:iCs/>
          <w:szCs w:val="24"/>
        </w:rPr>
        <w:t>когато Участникът е физическо лице;</w:t>
      </w:r>
    </w:p>
    <w:p w:rsidR="00F956E2" w:rsidRDefault="00F956E2" w:rsidP="00F956E2">
      <w:pPr>
        <w:pStyle w:val="Bodytext21"/>
        <w:numPr>
          <w:ilvl w:val="2"/>
          <w:numId w:val="5"/>
        </w:numPr>
        <w:shd w:val="clear" w:color="auto" w:fill="auto"/>
        <w:tabs>
          <w:tab w:val="left" w:pos="0"/>
          <w:tab w:val="left" w:pos="90"/>
          <w:tab w:val="left" w:pos="426"/>
          <w:tab w:val="left" w:pos="1134"/>
        </w:tabs>
        <w:spacing w:after="0" w:line="360" w:lineRule="auto"/>
        <w:ind w:left="0" w:firstLine="709"/>
      </w:pPr>
      <w:r>
        <w:rPr>
          <w:b/>
          <w:sz w:val="24"/>
          <w:szCs w:val="24"/>
        </w:rPr>
        <w:t>При участници обединения</w:t>
      </w:r>
      <w:r>
        <w:rPr>
          <w:sz w:val="24"/>
          <w:szCs w:val="24"/>
        </w:rPr>
        <w:t xml:space="preserve"> – </w:t>
      </w:r>
      <w:r>
        <w:rPr>
          <w:rStyle w:val="Bodytext2Italic"/>
          <w:rFonts w:cs="Microsoft Sans Serif"/>
          <w:b/>
          <w:iCs/>
          <w:szCs w:val="24"/>
        </w:rPr>
        <w:t>копие на договора за обединение</w:t>
      </w:r>
      <w:r>
        <w:rPr>
          <w:rStyle w:val="Bodytext2Italic"/>
          <w:rFonts w:cs="Microsoft Sans Serif"/>
          <w:iCs/>
          <w:szCs w:val="24"/>
        </w:rPr>
        <w:t>,</w:t>
      </w:r>
      <w:r>
        <w:rPr>
          <w:rStyle w:val="Bodytext22"/>
          <w:rFonts w:cs="Microsoft Sans Serif"/>
          <w:szCs w:val="24"/>
        </w:rPr>
        <w:t xml:space="preserve"> </w:t>
      </w:r>
      <w:r>
        <w:rPr>
          <w:sz w:val="24"/>
          <w:szCs w:val="24"/>
        </w:rPr>
        <w:t xml:space="preserve">а когато в договора не е посочено лицето, което представлява участниците в обединението - </w:t>
      </w:r>
      <w:r>
        <w:rPr>
          <w:b/>
          <w:sz w:val="24"/>
          <w:szCs w:val="24"/>
        </w:rPr>
        <w:t>и документ, подписан от лицата в обединението, в който се посочва представляващият</w:t>
      </w:r>
      <w:r>
        <w:rPr>
          <w:sz w:val="24"/>
          <w:szCs w:val="24"/>
        </w:rPr>
        <w:t xml:space="preserve"> </w:t>
      </w:r>
      <w:r>
        <w:rPr>
          <w:rStyle w:val="Bodytext2Bold"/>
          <w:rFonts w:cs="Microsoft Sans Serif"/>
          <w:bCs/>
          <w:iCs/>
          <w:szCs w:val="24"/>
        </w:rPr>
        <w:t>(</w:t>
      </w:r>
      <w:r>
        <w:rPr>
          <w:rStyle w:val="Bodytext2Italic"/>
          <w:rFonts w:cs="Microsoft Sans Serif"/>
          <w:iCs/>
          <w:szCs w:val="24"/>
        </w:rPr>
        <w:t>представя се ако е приложимо)</w:t>
      </w:r>
      <w:r w:rsidR="001F6A66">
        <w:rPr>
          <w:rStyle w:val="Bodytext2Italic"/>
          <w:rFonts w:cs="Microsoft Sans Serif"/>
          <w:iCs/>
          <w:szCs w:val="24"/>
        </w:rPr>
        <w:t>;</w:t>
      </w:r>
    </w:p>
    <w:p w:rsidR="00F956E2" w:rsidRDefault="00F956E2" w:rsidP="00F956E2">
      <w:pPr>
        <w:pStyle w:val="Bodytext21"/>
        <w:shd w:val="clear" w:color="auto" w:fill="auto"/>
        <w:tabs>
          <w:tab w:val="left" w:pos="0"/>
          <w:tab w:val="left" w:pos="90"/>
          <w:tab w:val="left" w:pos="426"/>
        </w:tabs>
        <w:spacing w:after="0" w:line="360" w:lineRule="auto"/>
        <w:ind w:firstLine="737"/>
        <w:rPr>
          <w:sz w:val="24"/>
          <w:szCs w:val="24"/>
        </w:rPr>
      </w:pPr>
      <w:r>
        <w:rPr>
          <w:i/>
          <w:sz w:val="24"/>
          <w:szCs w:val="24"/>
        </w:rPr>
        <w:t>3.3.</w:t>
      </w:r>
      <w:r>
        <w:rPr>
          <w:sz w:val="24"/>
          <w:szCs w:val="24"/>
        </w:rPr>
        <w:t xml:space="preserve"> </w:t>
      </w:r>
      <w:r>
        <w:rPr>
          <w:b/>
          <w:sz w:val="24"/>
          <w:szCs w:val="24"/>
        </w:rPr>
        <w:t>Декларация по чл. 97, ал. 5 от ППЗОП</w:t>
      </w:r>
      <w:r>
        <w:rPr>
          <w:sz w:val="24"/>
          <w:szCs w:val="24"/>
        </w:rPr>
        <w:t xml:space="preserve"> за обстоятелствата по чл. 54, ал. 1, т. 1, 2 и 7 от ЗОП – по образец;</w:t>
      </w:r>
    </w:p>
    <w:p w:rsidR="00F956E2" w:rsidRDefault="00F956E2" w:rsidP="00F956E2">
      <w:pPr>
        <w:pStyle w:val="Bodytext21"/>
        <w:shd w:val="clear" w:color="auto" w:fill="auto"/>
        <w:tabs>
          <w:tab w:val="left" w:pos="0"/>
          <w:tab w:val="left" w:pos="90"/>
          <w:tab w:val="left" w:pos="426"/>
        </w:tabs>
        <w:spacing w:after="0" w:line="360" w:lineRule="auto"/>
        <w:ind w:firstLine="737"/>
        <w:rPr>
          <w:sz w:val="24"/>
          <w:szCs w:val="24"/>
        </w:rPr>
      </w:pPr>
      <w:r>
        <w:rPr>
          <w:i/>
          <w:sz w:val="24"/>
          <w:szCs w:val="24"/>
        </w:rPr>
        <w:t>3.4.</w:t>
      </w:r>
      <w:r>
        <w:rPr>
          <w:sz w:val="24"/>
          <w:szCs w:val="24"/>
        </w:rPr>
        <w:t xml:space="preserve"> </w:t>
      </w:r>
      <w:r>
        <w:rPr>
          <w:b/>
          <w:sz w:val="24"/>
          <w:szCs w:val="24"/>
        </w:rPr>
        <w:t>Декларация по чл. 97, ал. 5 от ППЗОП</w:t>
      </w:r>
      <w:r>
        <w:rPr>
          <w:sz w:val="24"/>
          <w:szCs w:val="24"/>
        </w:rPr>
        <w:t xml:space="preserve"> за обстоятелствата по чл. 54, ал.1, т. 3-5 от ЗОП – по образец;</w:t>
      </w:r>
    </w:p>
    <w:p w:rsidR="00F956E2" w:rsidRDefault="00F956E2" w:rsidP="00F956E2">
      <w:pPr>
        <w:pStyle w:val="Bodytext21"/>
        <w:shd w:val="clear" w:color="auto" w:fill="auto"/>
        <w:tabs>
          <w:tab w:val="left" w:pos="0"/>
          <w:tab w:val="left" w:pos="90"/>
          <w:tab w:val="left" w:pos="426"/>
        </w:tabs>
        <w:spacing w:after="0" w:line="360" w:lineRule="auto"/>
        <w:ind w:firstLine="737"/>
        <w:rPr>
          <w:sz w:val="24"/>
          <w:szCs w:val="24"/>
        </w:rPr>
      </w:pPr>
      <w:r>
        <w:rPr>
          <w:rStyle w:val="Bodytext2Bold"/>
          <w:rFonts w:cs="Microsoft Sans Serif"/>
          <w:bCs/>
          <w:iCs/>
          <w:szCs w:val="24"/>
        </w:rPr>
        <w:t>3.</w:t>
      </w:r>
      <w:r w:rsidR="00A151BB">
        <w:rPr>
          <w:rStyle w:val="Bodytext2Bold"/>
          <w:rFonts w:cs="Microsoft Sans Serif"/>
          <w:bCs/>
          <w:iCs/>
          <w:szCs w:val="24"/>
        </w:rPr>
        <w:t>5</w:t>
      </w:r>
      <w:r>
        <w:rPr>
          <w:rStyle w:val="Bodytext2Bold"/>
          <w:rFonts w:cs="Microsoft Sans Serif"/>
          <w:bCs/>
          <w:iCs/>
          <w:szCs w:val="24"/>
        </w:rPr>
        <w:t xml:space="preserve">. </w:t>
      </w:r>
      <w:r>
        <w:rPr>
          <w:b/>
          <w:sz w:val="24"/>
          <w:szCs w:val="24"/>
        </w:rPr>
        <w:t>Декларация по чл. 66, ал. 1 от ЗОП</w:t>
      </w:r>
      <w:r>
        <w:rPr>
          <w:sz w:val="24"/>
          <w:szCs w:val="24"/>
        </w:rPr>
        <w:t xml:space="preserve"> относно видовете работи, които ще се изпълняват от подизпълнител</w:t>
      </w:r>
      <w:r w:rsidR="00C03C7F">
        <w:rPr>
          <w:sz w:val="24"/>
          <w:szCs w:val="24"/>
        </w:rPr>
        <w:t xml:space="preserve"> </w:t>
      </w:r>
      <w:r>
        <w:rPr>
          <w:rStyle w:val="Bodytext2Bold"/>
          <w:rFonts w:cs="Microsoft Sans Serif"/>
          <w:bCs/>
          <w:iCs/>
          <w:szCs w:val="24"/>
        </w:rPr>
        <w:t>(</w:t>
      </w:r>
      <w:r>
        <w:rPr>
          <w:rStyle w:val="Bodytext2Italic"/>
          <w:rFonts w:cs="Microsoft Sans Serif"/>
          <w:iCs/>
          <w:szCs w:val="24"/>
        </w:rPr>
        <w:t>представя се ако е приложимо) – по образец</w:t>
      </w:r>
      <w:r>
        <w:rPr>
          <w:sz w:val="24"/>
          <w:szCs w:val="24"/>
        </w:rPr>
        <w:t>;</w:t>
      </w:r>
    </w:p>
    <w:p w:rsidR="00F956E2" w:rsidRDefault="00F956E2" w:rsidP="00F956E2">
      <w:pPr>
        <w:pStyle w:val="Bodytext21"/>
        <w:shd w:val="clear" w:color="auto" w:fill="auto"/>
        <w:tabs>
          <w:tab w:val="left" w:pos="0"/>
          <w:tab w:val="left" w:pos="90"/>
          <w:tab w:val="left" w:pos="426"/>
          <w:tab w:val="left" w:pos="1134"/>
        </w:tabs>
        <w:spacing w:after="0" w:line="360" w:lineRule="auto"/>
        <w:ind w:firstLine="709"/>
        <w:rPr>
          <w:rStyle w:val="Bodytext2Bold"/>
          <w:rFonts w:cs="Microsoft Sans Serif"/>
          <w:b w:val="0"/>
          <w:bCs/>
          <w:iCs/>
        </w:rPr>
      </w:pPr>
      <w:r>
        <w:rPr>
          <w:rStyle w:val="Bodytext2Bold"/>
          <w:rFonts w:cs="Microsoft Sans Serif"/>
          <w:bCs/>
          <w:iCs/>
          <w:szCs w:val="24"/>
        </w:rPr>
        <w:t>3.</w:t>
      </w:r>
      <w:r w:rsidR="00A151BB">
        <w:rPr>
          <w:rStyle w:val="Bodytext2Bold"/>
          <w:rFonts w:cs="Microsoft Sans Serif"/>
          <w:bCs/>
          <w:iCs/>
          <w:szCs w:val="24"/>
        </w:rPr>
        <w:t>6</w:t>
      </w:r>
      <w:r>
        <w:rPr>
          <w:rStyle w:val="Bodytext2Bold"/>
          <w:rFonts w:cs="Microsoft Sans Serif"/>
          <w:bCs/>
          <w:iCs/>
          <w:szCs w:val="24"/>
        </w:rPr>
        <w:t xml:space="preserve">. </w:t>
      </w:r>
      <w:r>
        <w:rPr>
          <w:b/>
          <w:sz w:val="24"/>
          <w:szCs w:val="24"/>
        </w:rPr>
        <w:t>Декларация от подизпълнител</w:t>
      </w:r>
      <w:r>
        <w:rPr>
          <w:sz w:val="24"/>
          <w:szCs w:val="24"/>
        </w:rPr>
        <w:t xml:space="preserve"> </w:t>
      </w:r>
      <w:r>
        <w:rPr>
          <w:rStyle w:val="Bodytext2Bold"/>
          <w:rFonts w:cs="Microsoft Sans Serif"/>
          <w:bCs/>
          <w:iCs/>
          <w:szCs w:val="24"/>
        </w:rPr>
        <w:t>(</w:t>
      </w:r>
      <w:r>
        <w:rPr>
          <w:rStyle w:val="Bodytext2Italic"/>
          <w:rFonts w:cs="Microsoft Sans Serif"/>
          <w:iCs/>
          <w:szCs w:val="24"/>
        </w:rPr>
        <w:t>представя се ако е приложимо) – по образец</w:t>
      </w:r>
      <w:r>
        <w:rPr>
          <w:rStyle w:val="Bodytext2Bold"/>
          <w:rFonts w:cs="Microsoft Sans Serif"/>
          <w:bCs/>
          <w:iCs/>
          <w:szCs w:val="24"/>
        </w:rPr>
        <w:t>;</w:t>
      </w:r>
    </w:p>
    <w:p w:rsidR="00F956E2" w:rsidRDefault="00F956E2" w:rsidP="00F956E2">
      <w:pPr>
        <w:pStyle w:val="Bodytext21"/>
        <w:shd w:val="clear" w:color="auto" w:fill="auto"/>
        <w:tabs>
          <w:tab w:val="left" w:pos="0"/>
          <w:tab w:val="left" w:pos="90"/>
          <w:tab w:val="left" w:pos="426"/>
          <w:tab w:val="left" w:pos="1134"/>
        </w:tabs>
        <w:spacing w:after="0" w:line="360" w:lineRule="auto"/>
        <w:ind w:firstLine="709"/>
      </w:pPr>
      <w:r>
        <w:rPr>
          <w:rStyle w:val="Bodytext2Bold"/>
          <w:rFonts w:cs="Microsoft Sans Serif"/>
          <w:bCs/>
          <w:iCs/>
          <w:szCs w:val="24"/>
        </w:rPr>
        <w:t>3.</w:t>
      </w:r>
      <w:r w:rsidR="00A151BB">
        <w:rPr>
          <w:rStyle w:val="Bodytext2Bold"/>
          <w:rFonts w:cs="Microsoft Sans Serif"/>
          <w:bCs/>
          <w:iCs/>
          <w:szCs w:val="24"/>
        </w:rPr>
        <w:t>7</w:t>
      </w:r>
      <w:r>
        <w:rPr>
          <w:rStyle w:val="Bodytext2Bold"/>
          <w:rFonts w:cs="Microsoft Sans Serif"/>
          <w:bCs/>
          <w:iCs/>
          <w:szCs w:val="24"/>
        </w:rPr>
        <w:t xml:space="preserve">. </w:t>
      </w:r>
      <w:r>
        <w:rPr>
          <w:rStyle w:val="Bodytext2Bold"/>
          <w:rFonts w:cs="Microsoft Sans Serif"/>
          <w:bCs/>
          <w:i w:val="0"/>
          <w:iCs/>
          <w:szCs w:val="24"/>
        </w:rPr>
        <w:t>Дек</w:t>
      </w:r>
      <w:r>
        <w:rPr>
          <w:b/>
          <w:sz w:val="24"/>
          <w:szCs w:val="24"/>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sz w:val="24"/>
          <w:szCs w:val="24"/>
        </w:rPr>
        <w:t xml:space="preserve"> – по образец</w:t>
      </w:r>
      <w:r w:rsidR="001F6A66">
        <w:rPr>
          <w:sz w:val="24"/>
          <w:szCs w:val="24"/>
        </w:rPr>
        <w:t>;</w:t>
      </w:r>
    </w:p>
    <w:p w:rsidR="00F956E2" w:rsidRDefault="00F956E2" w:rsidP="00F956E2">
      <w:pPr>
        <w:pStyle w:val="Bodytext21"/>
        <w:shd w:val="clear" w:color="auto" w:fill="auto"/>
        <w:tabs>
          <w:tab w:val="left" w:pos="0"/>
          <w:tab w:val="left" w:pos="90"/>
          <w:tab w:val="left" w:pos="426"/>
        </w:tabs>
        <w:spacing w:after="0" w:line="360" w:lineRule="auto"/>
        <w:ind w:firstLine="709"/>
        <w:rPr>
          <w:sz w:val="24"/>
          <w:szCs w:val="24"/>
        </w:rPr>
      </w:pPr>
      <w:r>
        <w:rPr>
          <w:rStyle w:val="Bodytext2Bold"/>
          <w:rFonts w:cs="Microsoft Sans Serif"/>
          <w:bCs/>
          <w:iCs/>
          <w:szCs w:val="24"/>
        </w:rPr>
        <w:t>3.</w:t>
      </w:r>
      <w:r w:rsidR="00A151BB">
        <w:rPr>
          <w:rStyle w:val="Bodytext2Bold"/>
          <w:rFonts w:cs="Microsoft Sans Serif"/>
          <w:bCs/>
          <w:iCs/>
          <w:szCs w:val="24"/>
        </w:rPr>
        <w:t>8</w:t>
      </w:r>
      <w:r>
        <w:rPr>
          <w:rStyle w:val="Bodytext2Bold"/>
          <w:rFonts w:cs="Microsoft Sans Serif"/>
          <w:bCs/>
          <w:iCs/>
          <w:szCs w:val="24"/>
        </w:rPr>
        <w:t xml:space="preserve">. </w:t>
      </w:r>
      <w:r>
        <w:rPr>
          <w:b/>
          <w:sz w:val="24"/>
          <w:szCs w:val="24"/>
        </w:rPr>
        <w:t xml:space="preserve">Техническо предложение </w:t>
      </w:r>
      <w:r>
        <w:rPr>
          <w:sz w:val="24"/>
          <w:szCs w:val="24"/>
        </w:rPr>
        <w:t>– по образец.</w:t>
      </w:r>
      <w:r>
        <w:rPr>
          <w:b/>
          <w:sz w:val="24"/>
          <w:szCs w:val="24"/>
        </w:rPr>
        <w:t xml:space="preserve"> Предложението следва да е изготвено в съответствие с Техническата спецификация</w:t>
      </w:r>
      <w:r w:rsidR="00C62928">
        <w:rPr>
          <w:b/>
          <w:sz w:val="24"/>
          <w:szCs w:val="24"/>
        </w:rPr>
        <w:t xml:space="preserve"> – Приложение № 1</w:t>
      </w:r>
      <w:r>
        <w:rPr>
          <w:b/>
          <w:sz w:val="24"/>
          <w:szCs w:val="24"/>
        </w:rPr>
        <w:t xml:space="preserve"> и изискванията на</w:t>
      </w:r>
      <w:r>
        <w:rPr>
          <w:b/>
          <w:sz w:val="24"/>
          <w:szCs w:val="24"/>
          <w:lang w:val="ru-RU"/>
        </w:rPr>
        <w:t xml:space="preserve"> </w:t>
      </w:r>
      <w:r>
        <w:rPr>
          <w:b/>
          <w:sz w:val="24"/>
          <w:szCs w:val="24"/>
        </w:rPr>
        <w:t xml:space="preserve">Възложителя за изпълнение на обществената поръчка. </w:t>
      </w:r>
      <w:r>
        <w:rPr>
          <w:sz w:val="24"/>
          <w:szCs w:val="24"/>
        </w:rPr>
        <w:t>Към предложението си, участниците следва да приложат:</w:t>
      </w:r>
    </w:p>
    <w:p w:rsidR="00EF5722" w:rsidRPr="00EF5722" w:rsidRDefault="00EF5722" w:rsidP="00EF5722">
      <w:pPr>
        <w:keepNext/>
        <w:widowControl/>
        <w:tabs>
          <w:tab w:val="left" w:pos="567"/>
        </w:tabs>
        <w:spacing w:line="360" w:lineRule="auto"/>
        <w:jc w:val="both"/>
        <w:rPr>
          <w:rFonts w:ascii="Times New Roman" w:eastAsia="Times New Roman" w:hAnsi="Times New Roman" w:cs="Times New Roman"/>
        </w:rPr>
      </w:pPr>
      <w:r>
        <w:rPr>
          <w:rFonts w:ascii="Times New Roman" w:hAnsi="Times New Roman" w:cs="Times New Roman"/>
        </w:rPr>
        <w:tab/>
      </w:r>
      <w:r w:rsidR="00F956E2" w:rsidRPr="00EF5722">
        <w:rPr>
          <w:rFonts w:ascii="Times New Roman" w:hAnsi="Times New Roman" w:cs="Times New Roman"/>
        </w:rPr>
        <w:t>-</w:t>
      </w:r>
      <w:r w:rsidR="00F956E2" w:rsidRPr="00EF5722">
        <w:rPr>
          <w:rFonts w:ascii="Times New Roman" w:eastAsia="Times New Roman" w:hAnsi="Times New Roman" w:cs="Times New Roman"/>
          <w:snapToGrid w:val="0"/>
        </w:rPr>
        <w:t xml:space="preserve"> </w:t>
      </w:r>
      <w:r w:rsidR="00F956E2" w:rsidRPr="00EF5722">
        <w:rPr>
          <w:rFonts w:ascii="Times New Roman" w:eastAsia="Times New Roman" w:hAnsi="Times New Roman" w:cs="Times New Roman"/>
        </w:rPr>
        <w:t xml:space="preserve">пълно описание на предлаганата от тях услуга, </w:t>
      </w:r>
      <w:r w:rsidR="00F956E2" w:rsidRPr="00EF5722">
        <w:rPr>
          <w:rFonts w:ascii="Times New Roman" w:eastAsia="Times New Roman" w:hAnsi="Times New Roman" w:cs="Times New Roman"/>
          <w:snapToGrid w:val="0"/>
        </w:rPr>
        <w:t xml:space="preserve">изготвено в съответствие с </w:t>
      </w:r>
      <w:r w:rsidR="00F956E2" w:rsidRPr="00EF5722">
        <w:rPr>
          <w:rFonts w:ascii="Times New Roman" w:hAnsi="Times New Roman" w:cs="Times New Roman"/>
        </w:rPr>
        <w:t>Приложение № 1 –</w:t>
      </w:r>
      <w:r w:rsidR="00D55F82">
        <w:rPr>
          <w:rFonts w:ascii="Times New Roman" w:hAnsi="Times New Roman" w:cs="Times New Roman"/>
        </w:rPr>
        <w:t xml:space="preserve"> </w:t>
      </w:r>
      <w:r w:rsidR="00F956E2" w:rsidRPr="00EF5722">
        <w:rPr>
          <w:rFonts w:ascii="Times New Roman" w:hAnsi="Times New Roman" w:cs="Times New Roman"/>
        </w:rPr>
        <w:t>Техническа спецификация на възложителя</w:t>
      </w:r>
      <w:r w:rsidR="00F956E2" w:rsidRPr="00EF5722">
        <w:rPr>
          <w:rFonts w:ascii="Times New Roman" w:eastAsia="Times New Roman" w:hAnsi="Times New Roman" w:cs="Times New Roman"/>
          <w:snapToGrid w:val="0"/>
        </w:rPr>
        <w:t xml:space="preserve">. </w:t>
      </w:r>
      <w:r w:rsidR="00F956E2" w:rsidRPr="00EF5722">
        <w:rPr>
          <w:rFonts w:ascii="Times New Roman" w:eastAsia="Times New Roman" w:hAnsi="Times New Roman" w:cs="Times New Roman"/>
        </w:rPr>
        <w:t xml:space="preserve">Ако описанието не </w:t>
      </w:r>
      <w:r w:rsidR="00F956E2" w:rsidRPr="00EF5722">
        <w:rPr>
          <w:rFonts w:ascii="Times New Roman" w:eastAsia="Times New Roman" w:hAnsi="Times New Roman" w:cs="Times New Roman"/>
        </w:rPr>
        <w:lastRenderedPageBreak/>
        <w:t>съответства на условията, обхвата и изискванията от Приложение № 1 или липсва описание, участникът се отстранява от участие;</w:t>
      </w:r>
      <w:r w:rsidRPr="00EF5722">
        <w:rPr>
          <w:rFonts w:ascii="Times New Roman" w:eastAsia="Times New Roman" w:hAnsi="Times New Roman" w:cs="Times New Roman"/>
        </w:rPr>
        <w:t xml:space="preserve"> </w:t>
      </w:r>
    </w:p>
    <w:p w:rsidR="00EF5722" w:rsidRPr="00EF5722" w:rsidRDefault="00EF5722" w:rsidP="00EF5722">
      <w:pPr>
        <w:keepNext/>
        <w:widowControl/>
        <w:tabs>
          <w:tab w:val="left" w:pos="567"/>
        </w:tabs>
        <w:spacing w:line="360" w:lineRule="auto"/>
        <w:jc w:val="both"/>
        <w:rPr>
          <w:rFonts w:ascii="Times New Roman" w:hAnsi="Times New Roman" w:cs="Times New Roman"/>
        </w:rPr>
      </w:pPr>
      <w:r>
        <w:rPr>
          <w:rFonts w:ascii="Times New Roman" w:eastAsia="Times New Roman" w:hAnsi="Times New Roman" w:cs="Times New Roman"/>
        </w:rPr>
        <w:tab/>
      </w:r>
      <w:r w:rsidRPr="00EF5722">
        <w:rPr>
          <w:rFonts w:ascii="Times New Roman" w:eastAsia="Times New Roman" w:hAnsi="Times New Roman" w:cs="Times New Roman"/>
        </w:rPr>
        <w:t xml:space="preserve">- </w:t>
      </w:r>
      <w:proofErr w:type="spellStart"/>
      <w:r w:rsidRPr="00EF5722">
        <w:rPr>
          <w:rFonts w:ascii="Times New Roman" w:hAnsi="Times New Roman" w:cs="Times New Roman"/>
        </w:rPr>
        <w:t>оторизационно</w:t>
      </w:r>
      <w:proofErr w:type="spellEnd"/>
      <w:r w:rsidRPr="00EF5722">
        <w:rPr>
          <w:rFonts w:ascii="Times New Roman" w:hAnsi="Times New Roman" w:cs="Times New Roman"/>
        </w:rPr>
        <w:t xml:space="preserve"> писмо, издадено от производителя </w:t>
      </w:r>
      <w:proofErr w:type="spellStart"/>
      <w:r w:rsidRPr="00EF5722">
        <w:rPr>
          <w:rFonts w:ascii="Times New Roman" w:hAnsi="Times New Roman" w:cs="Times New Roman"/>
        </w:rPr>
        <w:t>Symantec</w:t>
      </w:r>
      <w:proofErr w:type="spellEnd"/>
      <w:r w:rsidRPr="00EF5722">
        <w:rPr>
          <w:rFonts w:ascii="Times New Roman" w:hAnsi="Times New Roman" w:cs="Times New Roman"/>
        </w:rPr>
        <w:t>, в което се удостоверява, че участника има статут най-малко „</w:t>
      </w:r>
      <w:proofErr w:type="spellStart"/>
      <w:r w:rsidRPr="00EF5722">
        <w:rPr>
          <w:rFonts w:ascii="Times New Roman" w:hAnsi="Times New Roman" w:cs="Times New Roman"/>
        </w:rPr>
        <w:t>Symantec</w:t>
      </w:r>
      <w:proofErr w:type="spellEnd"/>
      <w:r w:rsidRPr="00EF5722">
        <w:rPr>
          <w:rFonts w:ascii="Times New Roman" w:hAnsi="Times New Roman" w:cs="Times New Roman"/>
        </w:rPr>
        <w:t xml:space="preserve"> </w:t>
      </w:r>
      <w:proofErr w:type="spellStart"/>
      <w:r w:rsidRPr="00EF5722">
        <w:rPr>
          <w:rFonts w:ascii="Times New Roman" w:hAnsi="Times New Roman" w:cs="Times New Roman"/>
        </w:rPr>
        <w:t>Silver</w:t>
      </w:r>
      <w:proofErr w:type="spellEnd"/>
      <w:r w:rsidRPr="00EF5722">
        <w:rPr>
          <w:rFonts w:ascii="Times New Roman" w:hAnsi="Times New Roman" w:cs="Times New Roman"/>
        </w:rPr>
        <w:t xml:space="preserve"> </w:t>
      </w:r>
      <w:proofErr w:type="spellStart"/>
      <w:r w:rsidRPr="00EF5722">
        <w:rPr>
          <w:rFonts w:ascii="Times New Roman" w:hAnsi="Times New Roman" w:cs="Times New Roman"/>
        </w:rPr>
        <w:t>Partner</w:t>
      </w:r>
      <w:proofErr w:type="spellEnd"/>
      <w:r w:rsidRPr="00EF5722">
        <w:rPr>
          <w:rFonts w:ascii="Times New Roman" w:hAnsi="Times New Roman" w:cs="Times New Roman"/>
        </w:rPr>
        <w:t xml:space="preserve">“. </w:t>
      </w:r>
    </w:p>
    <w:p w:rsidR="00F956E2" w:rsidRDefault="00F956E2" w:rsidP="00F956E2">
      <w:pPr>
        <w:pStyle w:val="Bodytext21"/>
        <w:tabs>
          <w:tab w:val="left" w:pos="0"/>
          <w:tab w:val="left" w:pos="90"/>
          <w:tab w:val="left" w:pos="426"/>
        </w:tabs>
        <w:spacing w:after="0" w:line="360" w:lineRule="auto"/>
        <w:ind w:firstLine="709"/>
        <w:rPr>
          <w:rFonts w:eastAsia="Microsoft Sans Serif"/>
          <w:b/>
          <w:sz w:val="24"/>
          <w:szCs w:val="24"/>
        </w:rPr>
      </w:pPr>
      <w:r>
        <w:rPr>
          <w:rStyle w:val="Bodytext2Bold"/>
          <w:rFonts w:cs="Microsoft Sans Serif"/>
          <w:bCs/>
          <w:iCs/>
          <w:szCs w:val="24"/>
        </w:rPr>
        <w:t>3.</w:t>
      </w:r>
      <w:r w:rsidR="00D55F82">
        <w:rPr>
          <w:rStyle w:val="Bodytext2Bold"/>
          <w:rFonts w:cs="Microsoft Sans Serif"/>
          <w:bCs/>
          <w:iCs/>
          <w:szCs w:val="24"/>
        </w:rPr>
        <w:t>9</w:t>
      </w:r>
      <w:r>
        <w:rPr>
          <w:rStyle w:val="Bodytext2Bold"/>
          <w:rFonts w:cs="Microsoft Sans Serif"/>
          <w:bCs/>
          <w:iCs/>
          <w:szCs w:val="24"/>
        </w:rPr>
        <w:t xml:space="preserve">. </w:t>
      </w:r>
      <w:r>
        <w:rPr>
          <w:b/>
          <w:sz w:val="24"/>
          <w:szCs w:val="24"/>
        </w:rPr>
        <w:t xml:space="preserve">Ценово предложение </w:t>
      </w:r>
      <w:r>
        <w:rPr>
          <w:sz w:val="24"/>
          <w:szCs w:val="24"/>
        </w:rPr>
        <w:t>– по образец.</w:t>
      </w:r>
    </w:p>
    <w:p w:rsidR="00F956E2" w:rsidRDefault="00F956E2" w:rsidP="00F956E2">
      <w:pPr>
        <w:pStyle w:val="Bodytext21"/>
        <w:shd w:val="clear" w:color="auto" w:fill="auto"/>
        <w:tabs>
          <w:tab w:val="left" w:pos="0"/>
          <w:tab w:val="left" w:pos="90"/>
          <w:tab w:val="left" w:pos="426"/>
        </w:tabs>
        <w:spacing w:after="0" w:line="360" w:lineRule="auto"/>
        <w:ind w:firstLine="709"/>
        <w:rPr>
          <w:b/>
          <w:sz w:val="24"/>
          <w:szCs w:val="24"/>
        </w:rPr>
      </w:pPr>
    </w:p>
    <w:p w:rsidR="00F956E2" w:rsidRDefault="00F956E2" w:rsidP="00F956E2">
      <w:pPr>
        <w:pStyle w:val="ListParagraph"/>
        <w:numPr>
          <w:ilvl w:val="0"/>
          <w:numId w:val="2"/>
        </w:numPr>
        <w:tabs>
          <w:tab w:val="left" w:pos="-270"/>
          <w:tab w:val="left" w:pos="0"/>
          <w:tab w:val="left" w:pos="90"/>
          <w:tab w:val="left" w:pos="426"/>
        </w:tabs>
        <w:spacing w:line="360" w:lineRule="auto"/>
        <w:ind w:firstLine="737"/>
        <w:jc w:val="both"/>
        <w:rPr>
          <w:bCs/>
          <w:iCs/>
          <w:sz w:val="24"/>
          <w:szCs w:val="24"/>
        </w:rPr>
      </w:pPr>
      <w:bookmarkStart w:id="8" w:name="bookmark19"/>
      <w:r>
        <w:rPr>
          <w:b/>
          <w:bCs/>
          <w:caps/>
          <w:sz w:val="24"/>
          <w:szCs w:val="24"/>
        </w:rPr>
        <w:t>Условия, на които трябва да отговарят участниците</w:t>
      </w:r>
    </w:p>
    <w:p w:rsidR="00F956E2" w:rsidRDefault="00F956E2" w:rsidP="00F956E2">
      <w:pPr>
        <w:pStyle w:val="ListParagraph"/>
        <w:numPr>
          <w:ilvl w:val="0"/>
          <w:numId w:val="6"/>
        </w:numPr>
        <w:tabs>
          <w:tab w:val="left" w:pos="-270"/>
          <w:tab w:val="left" w:pos="0"/>
          <w:tab w:val="left" w:pos="90"/>
          <w:tab w:val="left" w:pos="426"/>
        </w:tabs>
        <w:spacing w:line="360" w:lineRule="auto"/>
        <w:jc w:val="both"/>
        <w:rPr>
          <w:b/>
          <w:bCs/>
          <w:sz w:val="24"/>
          <w:szCs w:val="24"/>
        </w:rPr>
      </w:pPr>
      <w:r>
        <w:rPr>
          <w:b/>
          <w:bCs/>
          <w:sz w:val="24"/>
          <w:szCs w:val="24"/>
        </w:rPr>
        <w:t xml:space="preserve">Изисквания за личното състояние: </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rsidR="00F956E2" w:rsidRDefault="00F956E2" w:rsidP="00F956E2">
      <w:pPr>
        <w:tabs>
          <w:tab w:val="left" w:pos="0"/>
          <w:tab w:val="left" w:pos="426"/>
        </w:tabs>
        <w:spacing w:line="360" w:lineRule="auto"/>
        <w:ind w:firstLine="737"/>
        <w:jc w:val="both"/>
        <w:rPr>
          <w:rFonts w:ascii="Times New Roman" w:hAnsi="Times New Roman" w:cs="Times New Roman"/>
          <w:b/>
          <w:shd w:val="clear" w:color="auto" w:fill="FFFFFF"/>
        </w:rPr>
      </w:pPr>
      <w:r>
        <w:rPr>
          <w:rFonts w:ascii="Times New Roman" w:hAnsi="Times New Roman" w:cs="Times New Roman"/>
          <w:b/>
          <w:shd w:val="clear" w:color="auto" w:fill="FFFFFF"/>
        </w:rPr>
        <w:t>Важно!!!</w:t>
      </w:r>
      <w:r>
        <w:rPr>
          <w:rFonts w:ascii="Times New Roman" w:hAnsi="Times New Roman" w:cs="Times New Roman"/>
          <w:i/>
          <w:shd w:val="clear" w:color="auto" w:fill="FFFFFF"/>
        </w:rPr>
        <w:t xml:space="preserve"> </w:t>
      </w:r>
      <w:r>
        <w:rPr>
          <w:rFonts w:ascii="Times New Roman" w:hAnsi="Times New Roman" w:cs="Times New Roman"/>
          <w:b/>
          <w:shd w:val="clear" w:color="auto" w:fill="FFFFFF"/>
        </w:rPr>
        <w:t>При подаване на оферта участникът декларира липсата на основанията за отстраняване с декларации по образец на Възложителя.</w:t>
      </w:r>
    </w:p>
    <w:p w:rsidR="00F956E2" w:rsidRDefault="00F956E2" w:rsidP="00F956E2">
      <w:pPr>
        <w:pStyle w:val="ListParagraph"/>
        <w:tabs>
          <w:tab w:val="left" w:pos="-270"/>
          <w:tab w:val="left" w:pos="0"/>
          <w:tab w:val="left" w:pos="90"/>
          <w:tab w:val="left" w:pos="426"/>
        </w:tabs>
        <w:spacing w:line="360" w:lineRule="auto"/>
        <w:ind w:left="0" w:firstLine="737"/>
        <w:jc w:val="both"/>
        <w:rPr>
          <w:bCs/>
          <w:sz w:val="24"/>
          <w:szCs w:val="24"/>
        </w:rPr>
      </w:pPr>
      <w:r>
        <w:rPr>
          <w:bCs/>
          <w:sz w:val="24"/>
          <w:szCs w:val="24"/>
        </w:rPr>
        <w:t>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декларации.</w:t>
      </w:r>
    </w:p>
    <w:p w:rsidR="00A855FD" w:rsidRPr="00A855FD" w:rsidRDefault="00B3634B" w:rsidP="005C7E0B">
      <w:pPr>
        <w:widowControl/>
        <w:spacing w:line="360" w:lineRule="auto"/>
        <w:ind w:firstLine="708"/>
        <w:jc w:val="both"/>
        <w:rPr>
          <w:rFonts w:ascii="Times New Roman" w:hAnsi="Times New Roman" w:cs="Times New Roman"/>
        </w:rPr>
      </w:pPr>
      <w:r w:rsidRPr="005C7E0B">
        <w:rPr>
          <w:rFonts w:ascii="Times New Roman" w:hAnsi="Times New Roman" w:cs="Times New Roman"/>
          <w:b/>
          <w:bCs/>
        </w:rPr>
        <w:t>2</w:t>
      </w:r>
      <w:r w:rsidR="00A855FD">
        <w:rPr>
          <w:rFonts w:ascii="Times New Roman" w:hAnsi="Times New Roman" w:cs="Times New Roman"/>
          <w:b/>
          <w:bCs/>
        </w:rPr>
        <w:t xml:space="preserve"> </w:t>
      </w:r>
      <w:r w:rsidR="00F956E2" w:rsidRPr="00A855FD">
        <w:rPr>
          <w:rFonts w:ascii="Times New Roman" w:hAnsi="Times New Roman" w:cs="Times New Roman"/>
          <w:b/>
          <w:bCs/>
        </w:rPr>
        <w:t>Изисквания към технически</w:t>
      </w:r>
      <w:r w:rsidR="00A855FD">
        <w:rPr>
          <w:rFonts w:ascii="Times New Roman" w:hAnsi="Times New Roman" w:cs="Times New Roman"/>
          <w:b/>
          <w:bCs/>
        </w:rPr>
        <w:t>те и професионални способности</w:t>
      </w:r>
      <w:r w:rsidR="00F956E2" w:rsidRPr="00A855FD">
        <w:rPr>
          <w:rFonts w:ascii="Times New Roman" w:hAnsi="Times New Roman" w:cs="Times New Roman"/>
          <w:b/>
          <w:bCs/>
        </w:rPr>
        <w:t>:</w:t>
      </w:r>
      <w:r w:rsidR="00A855FD" w:rsidRPr="00A855FD">
        <w:rPr>
          <w:rFonts w:ascii="Times New Roman" w:hAnsi="Times New Roman" w:cs="Times New Roman"/>
        </w:rPr>
        <w:t xml:space="preserve"> Участниците следва да притежават минимум  двама специалисти, които притежават поне по един сертификат за издържани технически изпити за антивирусни продукти на </w:t>
      </w:r>
      <w:proofErr w:type="spellStart"/>
      <w:r w:rsidR="00A855FD" w:rsidRPr="00A855FD">
        <w:rPr>
          <w:rFonts w:ascii="Times New Roman" w:hAnsi="Times New Roman" w:cs="Times New Roman"/>
        </w:rPr>
        <w:t>Symantec</w:t>
      </w:r>
      <w:proofErr w:type="spellEnd"/>
      <w:r w:rsidR="00A855FD" w:rsidRPr="00A855FD">
        <w:rPr>
          <w:rFonts w:ascii="Times New Roman" w:hAnsi="Times New Roman" w:cs="Times New Roman"/>
        </w:rPr>
        <w:t>.</w:t>
      </w:r>
    </w:p>
    <w:p w:rsidR="00A855FD" w:rsidRPr="00A855FD" w:rsidRDefault="00A855FD" w:rsidP="00A855FD">
      <w:pPr>
        <w:widowControl/>
        <w:spacing w:line="360" w:lineRule="auto"/>
        <w:jc w:val="both"/>
        <w:rPr>
          <w:rFonts w:ascii="Times New Roman" w:hAnsi="Times New Roman" w:cs="Times New Roman"/>
        </w:rPr>
      </w:pPr>
      <w:r>
        <w:rPr>
          <w:rFonts w:ascii="Times New Roman" w:hAnsi="Times New Roman" w:cs="Times New Roman"/>
        </w:rPr>
        <w:tab/>
      </w:r>
      <w:r w:rsidRPr="00A855FD">
        <w:rPr>
          <w:rFonts w:ascii="Times New Roman" w:hAnsi="Times New Roman" w:cs="Times New Roman"/>
          <w:b/>
        </w:rPr>
        <w:t>Документи за доказване</w:t>
      </w:r>
      <w:r w:rsidRPr="00A855FD">
        <w:rPr>
          <w:rFonts w:ascii="Times New Roman" w:hAnsi="Times New Roman" w:cs="Times New Roman"/>
        </w:rPr>
        <w:t xml:space="preserve"> </w:t>
      </w:r>
      <w:r w:rsidRPr="00A855FD">
        <w:rPr>
          <w:rFonts w:ascii="Times New Roman" w:hAnsi="Times New Roman" w:cs="Times New Roman"/>
          <w:i/>
        </w:rPr>
        <w:t>(в съответствие с чл.</w:t>
      </w:r>
      <w:r w:rsidRPr="00A855FD">
        <w:rPr>
          <w:rFonts w:ascii="Times New Roman" w:hAnsi="Times New Roman" w:cs="Times New Roman"/>
          <w:i/>
          <w:lang w:val="en-US"/>
        </w:rPr>
        <w:t xml:space="preserve"> </w:t>
      </w:r>
      <w:r w:rsidRPr="00A855FD">
        <w:rPr>
          <w:rFonts w:ascii="Times New Roman" w:hAnsi="Times New Roman" w:cs="Times New Roman"/>
          <w:i/>
        </w:rPr>
        <w:t>64 от ЗОП)</w:t>
      </w:r>
      <w:r w:rsidR="001F6A66">
        <w:rPr>
          <w:rFonts w:ascii="Times New Roman" w:hAnsi="Times New Roman" w:cs="Times New Roman"/>
          <w:i/>
        </w:rPr>
        <w:t>:</w:t>
      </w:r>
    </w:p>
    <w:p w:rsidR="00A141B5" w:rsidRDefault="00A855FD" w:rsidP="00FF5291">
      <w:pPr>
        <w:spacing w:line="360" w:lineRule="auto"/>
        <w:rPr>
          <w:rFonts w:ascii="Times New Roman" w:hAnsi="Times New Roman" w:cs="Times New Roman"/>
          <w:b/>
          <w:shd w:val="clear" w:color="auto" w:fill="FFFFFF"/>
          <w:lang w:val="en-US"/>
        </w:rPr>
      </w:pPr>
      <w:r w:rsidRPr="00A855FD">
        <w:rPr>
          <w:rFonts w:ascii="Times New Roman" w:hAnsi="Times New Roman" w:cs="Times New Roman"/>
        </w:rPr>
        <w:t>Списък  на персонала</w:t>
      </w:r>
      <w:r w:rsidRPr="00A855FD">
        <w:rPr>
          <w:rFonts w:ascii="Times New Roman" w:hAnsi="Times New Roman" w:cs="Times New Roman"/>
          <w:lang w:val="en-US"/>
        </w:rPr>
        <w:t xml:space="preserve"> (</w:t>
      </w:r>
      <w:proofErr w:type="spellStart"/>
      <w:r w:rsidRPr="00A855FD">
        <w:rPr>
          <w:rFonts w:ascii="Times New Roman" w:hAnsi="Times New Roman" w:cs="Times New Roman"/>
          <w:lang w:val="en-US"/>
        </w:rPr>
        <w:t>специалистите</w:t>
      </w:r>
      <w:proofErr w:type="spellEnd"/>
      <w:r w:rsidRPr="00A855FD">
        <w:rPr>
          <w:rFonts w:ascii="Times New Roman" w:hAnsi="Times New Roman" w:cs="Times New Roman"/>
          <w:lang w:val="en-US"/>
        </w:rPr>
        <w:t>)</w:t>
      </w:r>
      <w:r w:rsidRPr="00A855FD">
        <w:rPr>
          <w:rFonts w:ascii="Times New Roman" w:hAnsi="Times New Roman" w:cs="Times New Roman"/>
        </w:rPr>
        <w:t xml:space="preserve">, който ще изпълнява поръчката, в който е посочена професионална компетентност на лицата и </w:t>
      </w:r>
      <w:r w:rsidR="00CC2EB2">
        <w:rPr>
          <w:rFonts w:ascii="Times New Roman" w:hAnsi="Times New Roman" w:cs="Times New Roman"/>
        </w:rPr>
        <w:t xml:space="preserve">описание на </w:t>
      </w:r>
      <w:r w:rsidRPr="00A855FD">
        <w:rPr>
          <w:rFonts w:ascii="Times New Roman" w:hAnsi="Times New Roman" w:cs="Times New Roman"/>
        </w:rPr>
        <w:t>притежаваните сертификати;</w:t>
      </w:r>
      <w:r w:rsidR="00A141B5" w:rsidRPr="00A141B5">
        <w:rPr>
          <w:rFonts w:ascii="Times New Roman" w:hAnsi="Times New Roman" w:cs="Times New Roman"/>
          <w:b/>
          <w:shd w:val="clear" w:color="auto" w:fill="FFFFFF"/>
        </w:rPr>
        <w:t xml:space="preserve"> </w:t>
      </w:r>
    </w:p>
    <w:p w:rsidR="00A141B5" w:rsidRDefault="00A141B5" w:rsidP="00A141B5">
      <w:pPr>
        <w:tabs>
          <w:tab w:val="left" w:pos="0"/>
          <w:tab w:val="left" w:pos="426"/>
        </w:tabs>
        <w:spacing w:line="360" w:lineRule="auto"/>
        <w:ind w:firstLine="709"/>
        <w:jc w:val="both"/>
        <w:rPr>
          <w:rFonts w:ascii="Times New Roman" w:eastAsia="Times New Roman" w:hAnsi="Times New Roman" w:cs="Times New Roman"/>
          <w:color w:val="auto"/>
          <w:lang w:val="en-US"/>
        </w:rPr>
      </w:pPr>
      <w:r>
        <w:rPr>
          <w:rFonts w:ascii="Times New Roman" w:hAnsi="Times New Roman" w:cs="Times New Roman"/>
          <w:b/>
          <w:shd w:val="clear" w:color="auto" w:fill="FFFFFF"/>
        </w:rPr>
        <w:t>Важно!!!</w:t>
      </w:r>
      <w:r>
        <w:rPr>
          <w:rFonts w:ascii="Times New Roman" w:hAnsi="Times New Roman" w:cs="Times New Roman"/>
          <w:i/>
          <w:shd w:val="clear" w:color="auto" w:fill="FFFFFF"/>
        </w:rPr>
        <w:t xml:space="preserve"> Документите, доказващи съответствието с поставените изисквания </w:t>
      </w:r>
      <w:r>
        <w:rPr>
          <w:rFonts w:ascii="Times New Roman" w:hAnsi="Times New Roman" w:cs="Times New Roman"/>
          <w:i/>
          <w:shd w:val="clear" w:color="auto" w:fill="FFFFFF"/>
        </w:rPr>
        <w:lastRenderedPageBreak/>
        <w:t xml:space="preserve">за лично състояние на участниците, се представят от участника, избран за изпълнител при сключване на договора. </w:t>
      </w:r>
      <w:r>
        <w:rPr>
          <w:rFonts w:ascii="Times New Roman" w:eastAsia="Times New Roman" w:hAnsi="Times New Roman" w:cs="Times New Roman"/>
          <w:color w:val="auto"/>
          <w:lang w:val="en-US"/>
        </w:rPr>
        <w:t xml:space="preserve"> </w:t>
      </w:r>
    </w:p>
    <w:p w:rsidR="00BF274B" w:rsidRDefault="00B3634B" w:rsidP="007628F3">
      <w:pPr>
        <w:tabs>
          <w:tab w:val="left" w:pos="0"/>
          <w:tab w:val="left" w:pos="426"/>
          <w:tab w:val="left" w:pos="993"/>
        </w:tabs>
        <w:spacing w:line="360" w:lineRule="auto"/>
        <w:ind w:left="737"/>
        <w:jc w:val="both"/>
        <w:rPr>
          <w:rFonts w:ascii="Times New Roman" w:hAnsi="Times New Roman" w:cs="Times New Roman"/>
          <w:b/>
          <w:bCs/>
        </w:rPr>
      </w:pPr>
      <w:r>
        <w:rPr>
          <w:rFonts w:ascii="Times New Roman" w:hAnsi="Times New Roman" w:cs="Times New Roman"/>
        </w:rPr>
        <w:t xml:space="preserve">3. </w:t>
      </w:r>
      <w:r w:rsidR="00F956E2">
        <w:rPr>
          <w:rFonts w:ascii="Times New Roman" w:hAnsi="Times New Roman" w:cs="Times New Roman"/>
          <w:b/>
          <w:bCs/>
        </w:rPr>
        <w:t xml:space="preserve">Гаранция </w:t>
      </w:r>
      <w:r w:rsidR="00F956E2">
        <w:rPr>
          <w:rFonts w:ascii="Times New Roman" w:hAnsi="Times New Roman" w:cs="Times New Roman"/>
          <w:bCs/>
        </w:rPr>
        <w:t>– не се изисква представяне на гаранция.</w:t>
      </w:r>
    </w:p>
    <w:p w:rsidR="00F956E2" w:rsidRDefault="00B3634B" w:rsidP="005C7E0B">
      <w:pPr>
        <w:tabs>
          <w:tab w:val="left" w:pos="0"/>
          <w:tab w:val="left" w:pos="426"/>
          <w:tab w:val="left" w:pos="993"/>
        </w:tabs>
        <w:spacing w:line="360" w:lineRule="auto"/>
        <w:ind w:firstLine="709"/>
        <w:jc w:val="both"/>
        <w:rPr>
          <w:rFonts w:ascii="Times New Roman" w:hAnsi="Times New Roman" w:cs="Times New Roman"/>
        </w:rPr>
      </w:pPr>
      <w:r>
        <w:rPr>
          <w:rFonts w:ascii="Times New Roman" w:hAnsi="Times New Roman" w:cs="Times New Roman"/>
          <w:bCs/>
        </w:rPr>
        <w:t xml:space="preserve">4. </w:t>
      </w:r>
      <w:r w:rsidR="00F956E2">
        <w:rPr>
          <w:rFonts w:ascii="Times New Roman" w:hAnsi="Times New Roman" w:cs="Times New Roman"/>
          <w:bCs/>
        </w:rPr>
        <w:t xml:space="preserve">Определената със заповед на Възложителя, Комисия за разглеждане на офертите, може да извърши проверка за съответствие на заявените от участника данни с фактическото положение. </w:t>
      </w:r>
    </w:p>
    <w:p w:rsidR="00F956E2" w:rsidRDefault="00F956E2" w:rsidP="00BF274B">
      <w:pPr>
        <w:tabs>
          <w:tab w:val="left" w:pos="0"/>
          <w:tab w:val="left" w:pos="426"/>
        </w:tabs>
        <w:spacing w:line="360" w:lineRule="auto"/>
        <w:ind w:firstLine="709"/>
        <w:jc w:val="both"/>
        <w:rPr>
          <w:rFonts w:ascii="Times New Roman" w:hAnsi="Times New Roman" w:cs="Times New Roman"/>
          <w:i/>
          <w:shd w:val="clear" w:color="auto" w:fill="FFFFFF"/>
        </w:rPr>
      </w:pPr>
    </w:p>
    <w:p w:rsidR="00F956E2" w:rsidRDefault="00F956E2" w:rsidP="00F956E2">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rFonts w:cs="Microsoft Sans Serif"/>
          <w:sz w:val="24"/>
          <w:szCs w:val="24"/>
        </w:rPr>
      </w:pPr>
      <w:r>
        <w:rPr>
          <w:sz w:val="24"/>
          <w:szCs w:val="24"/>
        </w:rPr>
        <w:t>РАЗГЛЕЖДАНЕ НА ОФЕРТИТЕ</w:t>
      </w:r>
      <w:bookmarkEnd w:id="8"/>
    </w:p>
    <w:p w:rsidR="00F956E2" w:rsidRDefault="00F956E2" w:rsidP="00F956E2">
      <w:pPr>
        <w:pStyle w:val="Heading61"/>
        <w:keepNext/>
        <w:keepLines/>
        <w:shd w:val="clear" w:color="auto" w:fill="auto"/>
        <w:tabs>
          <w:tab w:val="left" w:pos="0"/>
          <w:tab w:val="left" w:pos="180"/>
          <w:tab w:val="left" w:pos="426"/>
        </w:tabs>
        <w:spacing w:before="0" w:line="360" w:lineRule="auto"/>
        <w:ind w:firstLine="737"/>
        <w:outlineLvl w:val="9"/>
        <w:rPr>
          <w:bCs/>
          <w:color w:val="000000"/>
          <w:sz w:val="20"/>
          <w:szCs w:val="20"/>
        </w:rPr>
      </w:pPr>
      <w:r>
        <w:rPr>
          <w:b w:val="0"/>
          <w:sz w:val="24"/>
          <w:szCs w:val="24"/>
        </w:rPr>
        <w:t xml:space="preserve">Разглеждането и оценката на офертите ще се извърши от назначена от възложителя комисия на </w:t>
      </w:r>
      <w:r>
        <w:rPr>
          <w:rStyle w:val="Bodytext2Bold1"/>
          <w:rFonts w:cs="Microsoft Sans Serif"/>
          <w:szCs w:val="24"/>
        </w:rPr>
        <w:t xml:space="preserve">датата и часа, посочени в обявата за събиране на оферти за обществената поръчка. </w:t>
      </w:r>
      <w:r>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rsidR="00F956E2" w:rsidRDefault="00F956E2" w:rsidP="00F956E2">
      <w:pPr>
        <w:pStyle w:val="NormalWeb"/>
        <w:tabs>
          <w:tab w:val="left" w:pos="0"/>
          <w:tab w:val="left" w:pos="426"/>
        </w:tabs>
        <w:spacing w:before="0" w:beforeAutospacing="0" w:after="0" w:afterAutospacing="0" w:line="360" w:lineRule="auto"/>
        <w:ind w:firstLine="737"/>
        <w:jc w:val="both"/>
        <w:rPr>
          <w:bCs/>
          <w:color w:val="000000"/>
          <w:lang w:val="bg-BG" w:eastAsia="bg-BG"/>
        </w:rPr>
      </w:pPr>
      <w:r>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F956E2" w:rsidRDefault="00F956E2" w:rsidP="00F956E2">
      <w:pPr>
        <w:pStyle w:val="NormalWeb"/>
        <w:tabs>
          <w:tab w:val="left" w:pos="0"/>
          <w:tab w:val="left" w:pos="426"/>
        </w:tabs>
        <w:spacing w:before="0" w:beforeAutospacing="0" w:after="0" w:afterAutospacing="0" w:line="360" w:lineRule="auto"/>
        <w:ind w:firstLine="737"/>
        <w:jc w:val="both"/>
        <w:rPr>
          <w:color w:val="000000"/>
          <w:lang w:val="bg-BG" w:eastAsia="bg-BG"/>
        </w:rPr>
      </w:pPr>
      <w:r>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rsidR="00F956E2" w:rsidRDefault="00F956E2" w:rsidP="00F956E2">
      <w:pPr>
        <w:pStyle w:val="NormalWeb"/>
        <w:tabs>
          <w:tab w:val="left" w:pos="0"/>
          <w:tab w:val="left" w:pos="426"/>
        </w:tabs>
        <w:spacing w:before="0" w:beforeAutospacing="0" w:after="0" w:afterAutospacing="0" w:line="360" w:lineRule="auto"/>
        <w:ind w:firstLine="737"/>
        <w:jc w:val="both"/>
        <w:rPr>
          <w:color w:val="000000"/>
          <w:lang w:val="bg-BG"/>
        </w:rPr>
      </w:pPr>
      <w:r>
        <w:rPr>
          <w:lang w:val="bg-BG"/>
        </w:rPr>
        <w:t xml:space="preserve">Комисията съставя протокол за разглеждането и оценката на офертите и за класирането на участниците. </w:t>
      </w:r>
      <w:r>
        <w:rPr>
          <w:color w:val="000000"/>
          <w:lang w:val="bg-BG"/>
        </w:rPr>
        <w:t xml:space="preserve">Комисията класира участниците по степента на съответствие на офертите с предварително обявените от възложителя условия. </w:t>
      </w:r>
    </w:p>
    <w:p w:rsidR="00F956E2" w:rsidRDefault="00F956E2" w:rsidP="00F956E2">
      <w:pPr>
        <w:pStyle w:val="NormalWeb"/>
        <w:tabs>
          <w:tab w:val="left" w:pos="0"/>
          <w:tab w:val="left" w:pos="426"/>
        </w:tabs>
        <w:spacing w:before="0" w:beforeAutospacing="0" w:after="0" w:afterAutospacing="0" w:line="360" w:lineRule="auto"/>
        <w:ind w:firstLine="737"/>
        <w:jc w:val="both"/>
        <w:rPr>
          <w:color w:val="000000"/>
          <w:lang w:val="bg-BG"/>
        </w:rPr>
      </w:pPr>
    </w:p>
    <w:p w:rsidR="00F956E2" w:rsidRDefault="00F956E2" w:rsidP="00F956E2">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sz w:val="24"/>
          <w:szCs w:val="24"/>
        </w:rPr>
      </w:pPr>
      <w:bookmarkStart w:id="9" w:name="bookmark20"/>
      <w:r>
        <w:rPr>
          <w:sz w:val="24"/>
          <w:szCs w:val="24"/>
        </w:rPr>
        <w:t>ОТСТРАНЯВАНЕ НА УЧАСТНИЦИ</w:t>
      </w:r>
      <w:bookmarkEnd w:id="9"/>
    </w:p>
    <w:p w:rsidR="00F956E2" w:rsidRDefault="00F956E2" w:rsidP="00F956E2">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Pr>
          <w:b w:val="0"/>
          <w:sz w:val="24"/>
          <w:szCs w:val="24"/>
        </w:rPr>
        <w:t>Отстранява се участник:</w:t>
      </w:r>
    </w:p>
    <w:p w:rsidR="00F956E2" w:rsidRDefault="00F956E2" w:rsidP="00F956E2">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Pr>
          <w:b w:val="0"/>
          <w:sz w:val="24"/>
          <w:szCs w:val="24"/>
        </w:rPr>
        <w:t>а)</w:t>
      </w:r>
      <w:r>
        <w:rPr>
          <w:b w:val="0"/>
          <w:sz w:val="24"/>
          <w:szCs w:val="24"/>
        </w:rPr>
        <w:tab/>
        <w:t>който не е представил някой от документите, посочени в настоящата документация;</w:t>
      </w:r>
    </w:p>
    <w:p w:rsidR="00F956E2" w:rsidRDefault="00F956E2" w:rsidP="00F956E2">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Pr>
          <w:b w:val="0"/>
          <w:sz w:val="24"/>
          <w:szCs w:val="24"/>
        </w:rPr>
        <w:t>б)</w:t>
      </w:r>
      <w:r>
        <w:rPr>
          <w:b w:val="0"/>
          <w:sz w:val="24"/>
          <w:szCs w:val="24"/>
        </w:rPr>
        <w:tab/>
        <w:t>който е представил оферта, която не отговаря на условията на възложителя.</w:t>
      </w:r>
    </w:p>
    <w:p w:rsidR="00F956E2" w:rsidRDefault="00F956E2" w:rsidP="00F956E2">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rsidR="00F956E2" w:rsidRDefault="00F956E2" w:rsidP="00F956E2">
      <w:pPr>
        <w:pStyle w:val="Heading61"/>
        <w:keepNext/>
        <w:keepLines/>
        <w:numPr>
          <w:ilvl w:val="0"/>
          <w:numId w:val="2"/>
        </w:numPr>
        <w:shd w:val="clear" w:color="auto" w:fill="auto"/>
        <w:tabs>
          <w:tab w:val="left" w:pos="-270"/>
          <w:tab w:val="left" w:pos="0"/>
          <w:tab w:val="left" w:pos="360"/>
          <w:tab w:val="left" w:pos="426"/>
        </w:tabs>
        <w:spacing w:before="0" w:line="360" w:lineRule="auto"/>
        <w:ind w:firstLine="737"/>
        <w:outlineLvl w:val="9"/>
        <w:rPr>
          <w:sz w:val="24"/>
          <w:szCs w:val="24"/>
        </w:rPr>
      </w:pPr>
      <w:bookmarkStart w:id="10" w:name="bookmark21"/>
      <w:r>
        <w:rPr>
          <w:sz w:val="24"/>
          <w:szCs w:val="24"/>
        </w:rPr>
        <w:t>СКЛЮЧВАНЕ НА ДОГОВОР</w:t>
      </w:r>
      <w:bookmarkEnd w:id="10"/>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С класирания на първо място участник възложителят сключва писмен договор в 30</w:t>
      </w:r>
      <w:r>
        <w:rPr>
          <w:sz w:val="24"/>
          <w:szCs w:val="24"/>
        </w:rPr>
        <w:noBreakHyphen/>
        <w:t xml:space="preserve">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w:t>
      </w:r>
      <w:r>
        <w:rPr>
          <w:sz w:val="24"/>
          <w:szCs w:val="24"/>
        </w:rPr>
        <w:lastRenderedPageBreak/>
        <w:t>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r>
        <w:rPr>
          <w:bCs/>
          <w:sz w:val="24"/>
          <w:szCs w:val="24"/>
        </w:rPr>
        <w:t>.</w:t>
      </w:r>
    </w:p>
    <w:p w:rsidR="00F956E2" w:rsidRDefault="00F956E2" w:rsidP="00F956E2">
      <w:pPr>
        <w:pStyle w:val="Bodytext50"/>
        <w:shd w:val="clear" w:color="auto" w:fill="auto"/>
        <w:tabs>
          <w:tab w:val="left" w:pos="0"/>
          <w:tab w:val="left" w:pos="426"/>
        </w:tabs>
        <w:spacing w:before="0" w:after="0" w:line="360" w:lineRule="auto"/>
        <w:ind w:firstLine="737"/>
        <w:rPr>
          <w:b w:val="0"/>
          <w:color w:val="333333"/>
          <w:sz w:val="24"/>
          <w:szCs w:val="24"/>
        </w:rPr>
      </w:pPr>
      <w:r>
        <w:rPr>
          <w:b w:val="0"/>
          <w:color w:val="333333"/>
          <w:sz w:val="24"/>
          <w:szCs w:val="24"/>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Pr>
          <w:b w:val="0"/>
          <w:sz w:val="24"/>
          <w:szCs w:val="24"/>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rsidR="00F956E2" w:rsidRDefault="00F956E2" w:rsidP="00F956E2">
      <w:pPr>
        <w:pStyle w:val="Bodytext50"/>
        <w:tabs>
          <w:tab w:val="left" w:pos="0"/>
          <w:tab w:val="left" w:pos="426"/>
        </w:tabs>
        <w:spacing w:line="360" w:lineRule="auto"/>
        <w:ind w:firstLine="737"/>
        <w:rPr>
          <w:b w:val="0"/>
          <w:sz w:val="24"/>
          <w:szCs w:val="24"/>
        </w:rPr>
      </w:pPr>
    </w:p>
    <w:p w:rsidR="007D34F1" w:rsidRDefault="007D34F1"/>
    <w:sectPr w:rsidR="007D34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00850"/>
    <w:multiLevelType w:val="hybridMultilevel"/>
    <w:tmpl w:val="B32657AA"/>
    <w:lvl w:ilvl="0" w:tplc="A3D0149A">
      <w:start w:val="1"/>
      <w:numFmt w:val="decimal"/>
      <w:lvlText w:val="%1."/>
      <w:lvlJc w:val="left"/>
      <w:pPr>
        <w:ind w:left="1097" w:hanging="360"/>
      </w:pPr>
      <w:rPr>
        <w:rFonts w:cs="Times New Roman"/>
        <w:b/>
      </w:rPr>
    </w:lvl>
    <w:lvl w:ilvl="1" w:tplc="04020019">
      <w:start w:val="1"/>
      <w:numFmt w:val="lowerLetter"/>
      <w:lvlText w:val="%2."/>
      <w:lvlJc w:val="left"/>
      <w:pPr>
        <w:ind w:left="1817" w:hanging="360"/>
      </w:pPr>
      <w:rPr>
        <w:rFonts w:cs="Times New Roman"/>
      </w:rPr>
    </w:lvl>
    <w:lvl w:ilvl="2" w:tplc="0402001B">
      <w:start w:val="1"/>
      <w:numFmt w:val="lowerRoman"/>
      <w:lvlText w:val="%3."/>
      <w:lvlJc w:val="right"/>
      <w:pPr>
        <w:ind w:left="2537" w:hanging="180"/>
      </w:pPr>
      <w:rPr>
        <w:rFonts w:cs="Times New Roman"/>
      </w:rPr>
    </w:lvl>
    <w:lvl w:ilvl="3" w:tplc="0402000F">
      <w:start w:val="1"/>
      <w:numFmt w:val="decimal"/>
      <w:lvlText w:val="%4."/>
      <w:lvlJc w:val="left"/>
      <w:pPr>
        <w:ind w:left="3257" w:hanging="360"/>
      </w:pPr>
      <w:rPr>
        <w:rFonts w:cs="Times New Roman"/>
      </w:rPr>
    </w:lvl>
    <w:lvl w:ilvl="4" w:tplc="04020019">
      <w:start w:val="1"/>
      <w:numFmt w:val="lowerLetter"/>
      <w:lvlText w:val="%5."/>
      <w:lvlJc w:val="left"/>
      <w:pPr>
        <w:ind w:left="3977" w:hanging="360"/>
      </w:pPr>
      <w:rPr>
        <w:rFonts w:cs="Times New Roman"/>
      </w:rPr>
    </w:lvl>
    <w:lvl w:ilvl="5" w:tplc="0402001B">
      <w:start w:val="1"/>
      <w:numFmt w:val="lowerRoman"/>
      <w:lvlText w:val="%6."/>
      <w:lvlJc w:val="right"/>
      <w:pPr>
        <w:ind w:left="4697" w:hanging="180"/>
      </w:pPr>
      <w:rPr>
        <w:rFonts w:cs="Times New Roman"/>
      </w:rPr>
    </w:lvl>
    <w:lvl w:ilvl="6" w:tplc="0402000F">
      <w:start w:val="1"/>
      <w:numFmt w:val="decimal"/>
      <w:lvlText w:val="%7."/>
      <w:lvlJc w:val="left"/>
      <w:pPr>
        <w:ind w:left="5417" w:hanging="360"/>
      </w:pPr>
      <w:rPr>
        <w:rFonts w:cs="Times New Roman"/>
      </w:rPr>
    </w:lvl>
    <w:lvl w:ilvl="7" w:tplc="04020019">
      <w:start w:val="1"/>
      <w:numFmt w:val="lowerLetter"/>
      <w:lvlText w:val="%8."/>
      <w:lvlJc w:val="left"/>
      <w:pPr>
        <w:ind w:left="6137" w:hanging="360"/>
      </w:pPr>
      <w:rPr>
        <w:rFonts w:cs="Times New Roman"/>
      </w:rPr>
    </w:lvl>
    <w:lvl w:ilvl="8" w:tplc="0402001B">
      <w:start w:val="1"/>
      <w:numFmt w:val="lowerRoman"/>
      <w:lvlText w:val="%9."/>
      <w:lvlJc w:val="right"/>
      <w:pPr>
        <w:ind w:left="6857" w:hanging="180"/>
      </w:pPr>
      <w:rPr>
        <w:rFonts w:cs="Times New Roman"/>
      </w:rPr>
    </w:lvl>
  </w:abstractNum>
  <w:abstractNum w:abstractNumId="1">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2">
    <w:nsid w:val="247420DC"/>
    <w:multiLevelType w:val="multilevel"/>
    <w:tmpl w:val="BE18379A"/>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nsid w:val="25E90ACB"/>
    <w:multiLevelType w:val="multilevel"/>
    <w:tmpl w:val="9DC877C2"/>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nsid w:val="39BE68DA"/>
    <w:multiLevelType w:val="multilevel"/>
    <w:tmpl w:val="8E2E03EE"/>
    <w:lvl w:ilvl="0">
      <w:start w:val="3"/>
      <w:numFmt w:val="decimal"/>
      <w:lvlText w:val="%1."/>
      <w:lvlJc w:val="left"/>
      <w:pPr>
        <w:ind w:left="540" w:hanging="540"/>
      </w:pPr>
      <w:rPr>
        <w:rFonts w:cs="Times New Roman"/>
        <w:i/>
      </w:rPr>
    </w:lvl>
    <w:lvl w:ilvl="1">
      <w:start w:val="2"/>
      <w:numFmt w:val="decimal"/>
      <w:lvlText w:val="%1.%2."/>
      <w:lvlJc w:val="left"/>
      <w:pPr>
        <w:ind w:left="540" w:hanging="540"/>
      </w:pPr>
      <w:rPr>
        <w:rFonts w:cs="Times New Roman"/>
        <w:i/>
      </w:rPr>
    </w:lvl>
    <w:lvl w:ilvl="2">
      <w:start w:val="1"/>
      <w:numFmt w:val="decimal"/>
      <w:lvlText w:val="%1.%2.%3."/>
      <w:lvlJc w:val="left"/>
      <w:pPr>
        <w:ind w:left="720" w:hanging="720"/>
      </w:pPr>
      <w:rPr>
        <w:rFonts w:cs="Times New Roman"/>
        <w:i/>
      </w:rPr>
    </w:lvl>
    <w:lvl w:ilvl="3">
      <w:start w:val="1"/>
      <w:numFmt w:val="decimal"/>
      <w:lvlText w:val="%1.%2.%3.%4."/>
      <w:lvlJc w:val="left"/>
      <w:pPr>
        <w:ind w:left="720" w:hanging="720"/>
      </w:pPr>
      <w:rPr>
        <w:rFonts w:cs="Times New Roman"/>
        <w:i/>
      </w:rPr>
    </w:lvl>
    <w:lvl w:ilvl="4">
      <w:start w:val="1"/>
      <w:numFmt w:val="decimal"/>
      <w:lvlText w:val="%1.%2.%3.%4.%5."/>
      <w:lvlJc w:val="left"/>
      <w:pPr>
        <w:ind w:left="1080" w:hanging="1080"/>
      </w:pPr>
      <w:rPr>
        <w:rFonts w:cs="Times New Roman"/>
        <w:i/>
      </w:rPr>
    </w:lvl>
    <w:lvl w:ilvl="5">
      <w:start w:val="1"/>
      <w:numFmt w:val="decimal"/>
      <w:lvlText w:val="%1.%2.%3.%4.%5.%6."/>
      <w:lvlJc w:val="left"/>
      <w:pPr>
        <w:ind w:left="1080" w:hanging="1080"/>
      </w:pPr>
      <w:rPr>
        <w:rFonts w:cs="Times New Roman"/>
        <w:i/>
      </w:rPr>
    </w:lvl>
    <w:lvl w:ilvl="6">
      <w:start w:val="1"/>
      <w:numFmt w:val="decimal"/>
      <w:lvlText w:val="%1.%2.%3.%4.%5.%6.%7."/>
      <w:lvlJc w:val="left"/>
      <w:pPr>
        <w:ind w:left="1440" w:hanging="1440"/>
      </w:pPr>
      <w:rPr>
        <w:rFonts w:cs="Times New Roman"/>
        <w:i/>
      </w:rPr>
    </w:lvl>
    <w:lvl w:ilvl="7">
      <w:start w:val="1"/>
      <w:numFmt w:val="decimal"/>
      <w:lvlText w:val="%1.%2.%3.%4.%5.%6.%7.%8."/>
      <w:lvlJc w:val="left"/>
      <w:pPr>
        <w:ind w:left="1440" w:hanging="1440"/>
      </w:pPr>
      <w:rPr>
        <w:rFonts w:cs="Times New Roman"/>
        <w:i/>
      </w:rPr>
    </w:lvl>
    <w:lvl w:ilvl="8">
      <w:start w:val="1"/>
      <w:numFmt w:val="decimal"/>
      <w:lvlText w:val="%1.%2.%3.%4.%5.%6.%7.%8.%9."/>
      <w:lvlJc w:val="left"/>
      <w:pPr>
        <w:ind w:left="1800" w:hanging="1800"/>
      </w:pPr>
      <w:rPr>
        <w:rFonts w:cs="Times New Roman"/>
        <w:i/>
      </w:rPr>
    </w:lvl>
  </w:abstractNum>
  <w:abstractNum w:abstractNumId="5">
    <w:nsid w:val="4DFB6278"/>
    <w:multiLevelType w:val="multilevel"/>
    <w:tmpl w:val="B56C91C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nsid w:val="68C518F9"/>
    <w:multiLevelType w:val="hybridMultilevel"/>
    <w:tmpl w:val="8C2A8936"/>
    <w:lvl w:ilvl="0" w:tplc="F500B4F0">
      <w:start w:val="1"/>
      <w:numFmt w:val="decimal"/>
      <w:lvlText w:val="%1."/>
      <w:lvlJc w:val="left"/>
      <w:pPr>
        <w:ind w:left="360" w:hanging="360"/>
      </w:pPr>
      <w:rPr>
        <w:rFonts w:cs="Times New Roman"/>
        <w:b w:val="0"/>
        <w:sz w:val="24"/>
        <w:szCs w:val="24"/>
      </w:rPr>
    </w:lvl>
    <w:lvl w:ilvl="1" w:tplc="04020019">
      <w:start w:val="1"/>
      <w:numFmt w:val="lowerLetter"/>
      <w:lvlText w:val="%2."/>
      <w:lvlJc w:val="left"/>
      <w:pPr>
        <w:ind w:left="873" w:hanging="360"/>
      </w:pPr>
      <w:rPr>
        <w:rFonts w:cs="Times New Roman"/>
      </w:rPr>
    </w:lvl>
    <w:lvl w:ilvl="2" w:tplc="0402001B">
      <w:start w:val="1"/>
      <w:numFmt w:val="lowerRoman"/>
      <w:lvlText w:val="%3."/>
      <w:lvlJc w:val="right"/>
      <w:pPr>
        <w:ind w:left="1593" w:hanging="180"/>
      </w:pPr>
      <w:rPr>
        <w:rFonts w:cs="Times New Roman"/>
      </w:rPr>
    </w:lvl>
    <w:lvl w:ilvl="3" w:tplc="0402000F">
      <w:start w:val="1"/>
      <w:numFmt w:val="decimal"/>
      <w:lvlText w:val="%4."/>
      <w:lvlJc w:val="left"/>
      <w:pPr>
        <w:ind w:left="2313" w:hanging="360"/>
      </w:pPr>
      <w:rPr>
        <w:rFonts w:cs="Times New Roman"/>
      </w:rPr>
    </w:lvl>
    <w:lvl w:ilvl="4" w:tplc="04020019">
      <w:start w:val="1"/>
      <w:numFmt w:val="lowerLetter"/>
      <w:lvlText w:val="%5."/>
      <w:lvlJc w:val="left"/>
      <w:pPr>
        <w:ind w:left="3033" w:hanging="360"/>
      </w:pPr>
      <w:rPr>
        <w:rFonts w:cs="Times New Roman"/>
      </w:rPr>
    </w:lvl>
    <w:lvl w:ilvl="5" w:tplc="0402001B">
      <w:start w:val="1"/>
      <w:numFmt w:val="lowerRoman"/>
      <w:lvlText w:val="%6."/>
      <w:lvlJc w:val="right"/>
      <w:pPr>
        <w:ind w:left="3753" w:hanging="180"/>
      </w:pPr>
      <w:rPr>
        <w:rFonts w:cs="Times New Roman"/>
      </w:rPr>
    </w:lvl>
    <w:lvl w:ilvl="6" w:tplc="0402000F">
      <w:start w:val="1"/>
      <w:numFmt w:val="decimal"/>
      <w:lvlText w:val="%7."/>
      <w:lvlJc w:val="left"/>
      <w:pPr>
        <w:ind w:left="4473" w:hanging="360"/>
      </w:pPr>
      <w:rPr>
        <w:rFonts w:cs="Times New Roman"/>
      </w:rPr>
    </w:lvl>
    <w:lvl w:ilvl="7" w:tplc="04020019">
      <w:start w:val="1"/>
      <w:numFmt w:val="lowerLetter"/>
      <w:lvlText w:val="%8."/>
      <w:lvlJc w:val="left"/>
      <w:pPr>
        <w:ind w:left="5193" w:hanging="360"/>
      </w:pPr>
      <w:rPr>
        <w:rFonts w:cs="Times New Roman"/>
      </w:rPr>
    </w:lvl>
    <w:lvl w:ilvl="8" w:tplc="0402001B">
      <w:start w:val="1"/>
      <w:numFmt w:val="lowerRoman"/>
      <w:lvlText w:val="%9."/>
      <w:lvlJc w:val="right"/>
      <w:pPr>
        <w:ind w:left="5913"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79"/>
    <w:rsid w:val="001105B3"/>
    <w:rsid w:val="00143A8D"/>
    <w:rsid w:val="00151EF7"/>
    <w:rsid w:val="001F6A66"/>
    <w:rsid w:val="00287658"/>
    <w:rsid w:val="00451393"/>
    <w:rsid w:val="005C7E0B"/>
    <w:rsid w:val="00642DF7"/>
    <w:rsid w:val="00644507"/>
    <w:rsid w:val="00697479"/>
    <w:rsid w:val="007628F3"/>
    <w:rsid w:val="00780165"/>
    <w:rsid w:val="007D34F1"/>
    <w:rsid w:val="0096082D"/>
    <w:rsid w:val="009749B3"/>
    <w:rsid w:val="009A1A50"/>
    <w:rsid w:val="00A141B5"/>
    <w:rsid w:val="00A151BB"/>
    <w:rsid w:val="00A77EA3"/>
    <w:rsid w:val="00A855FD"/>
    <w:rsid w:val="00B04693"/>
    <w:rsid w:val="00B3634B"/>
    <w:rsid w:val="00BC34CD"/>
    <w:rsid w:val="00BF274B"/>
    <w:rsid w:val="00C03C7F"/>
    <w:rsid w:val="00C62928"/>
    <w:rsid w:val="00CC2EB2"/>
    <w:rsid w:val="00D55F82"/>
    <w:rsid w:val="00E7712E"/>
    <w:rsid w:val="00EF5722"/>
    <w:rsid w:val="00F034FA"/>
    <w:rsid w:val="00F956E2"/>
    <w:rsid w:val="00FF52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6E2"/>
    <w:pPr>
      <w:widowControl w:val="0"/>
      <w:spacing w:after="0" w:line="240" w:lineRule="auto"/>
    </w:pPr>
    <w:rPr>
      <w:rFonts w:ascii="Microsoft Sans Serif" w:eastAsia="Microsoft Sans Serif" w:hAnsi="Microsoft Sans Serif" w:cs="Microsoft Sans Serif"/>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956E2"/>
    <w:rPr>
      <w:rFonts w:ascii="Times New Roman" w:hAnsi="Times New Roman" w:cs="Times New Roman" w:hint="default"/>
      <w:color w:val="0066CC"/>
      <w:u w:val="single"/>
    </w:rPr>
  </w:style>
  <w:style w:type="paragraph" w:styleId="NormalWeb">
    <w:name w:val="Normal (Web)"/>
    <w:basedOn w:val="Normal"/>
    <w:uiPriority w:val="99"/>
    <w:semiHidden/>
    <w:unhideWhenUsed/>
    <w:rsid w:val="00F956E2"/>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ListParagraphChar">
    <w:name w:val="List Paragraph Char"/>
    <w:link w:val="ListParagraph"/>
    <w:uiPriority w:val="34"/>
    <w:locked/>
    <w:rsid w:val="00F956E2"/>
    <w:rPr>
      <w:rFonts w:ascii="Times New Roman" w:hAnsi="Times New Roman" w:cs="Times New Roman"/>
      <w:color w:val="000000"/>
    </w:rPr>
  </w:style>
  <w:style w:type="paragraph" w:styleId="ListParagraph">
    <w:name w:val="List Paragraph"/>
    <w:basedOn w:val="Normal"/>
    <w:link w:val="ListParagraphChar"/>
    <w:uiPriority w:val="34"/>
    <w:qFormat/>
    <w:rsid w:val="00F956E2"/>
    <w:pPr>
      <w:ind w:left="720"/>
      <w:contextualSpacing/>
    </w:pPr>
    <w:rPr>
      <w:rFonts w:ascii="Times New Roman" w:eastAsiaTheme="minorHAnsi" w:hAnsi="Times New Roman" w:cs="Times New Roman"/>
      <w:sz w:val="22"/>
      <w:szCs w:val="22"/>
      <w:lang w:eastAsia="en-US"/>
    </w:rPr>
  </w:style>
  <w:style w:type="character" w:customStyle="1" w:styleId="Heading3">
    <w:name w:val="Heading #3_"/>
    <w:link w:val="Heading30"/>
    <w:uiPriority w:val="99"/>
    <w:locked/>
    <w:rsid w:val="00F956E2"/>
    <w:rPr>
      <w:rFonts w:ascii="Times New Roman" w:hAnsi="Times New Roman" w:cs="Times New Roman"/>
      <w:b/>
      <w:sz w:val="32"/>
      <w:shd w:val="clear" w:color="auto" w:fill="FFFFFF"/>
    </w:rPr>
  </w:style>
  <w:style w:type="paragraph" w:customStyle="1" w:styleId="Heading30">
    <w:name w:val="Heading #3"/>
    <w:basedOn w:val="Normal"/>
    <w:link w:val="Heading3"/>
    <w:uiPriority w:val="99"/>
    <w:rsid w:val="00F956E2"/>
    <w:pPr>
      <w:shd w:val="clear" w:color="auto" w:fill="FFFFFF"/>
      <w:spacing w:after="420" w:line="240" w:lineRule="atLeast"/>
      <w:jc w:val="center"/>
      <w:outlineLvl w:val="2"/>
    </w:pPr>
    <w:rPr>
      <w:rFonts w:ascii="Times New Roman" w:eastAsiaTheme="minorHAnsi" w:hAnsi="Times New Roman" w:cs="Times New Roman"/>
      <w:b/>
      <w:color w:val="auto"/>
      <w:sz w:val="32"/>
      <w:szCs w:val="22"/>
      <w:lang w:eastAsia="en-US"/>
    </w:rPr>
  </w:style>
  <w:style w:type="character" w:customStyle="1" w:styleId="Heading6">
    <w:name w:val="Heading #6_"/>
    <w:link w:val="Heading61"/>
    <w:uiPriority w:val="99"/>
    <w:locked/>
    <w:rsid w:val="00F956E2"/>
    <w:rPr>
      <w:rFonts w:ascii="Times New Roman" w:hAnsi="Times New Roman" w:cs="Times New Roman"/>
      <w:b/>
      <w:shd w:val="clear" w:color="auto" w:fill="FFFFFF"/>
    </w:rPr>
  </w:style>
  <w:style w:type="paragraph" w:customStyle="1" w:styleId="Heading61">
    <w:name w:val="Heading #61"/>
    <w:basedOn w:val="Normal"/>
    <w:link w:val="Heading6"/>
    <w:uiPriority w:val="99"/>
    <w:rsid w:val="00F956E2"/>
    <w:pPr>
      <w:shd w:val="clear" w:color="auto" w:fill="FFFFFF"/>
      <w:spacing w:before="420" w:line="274" w:lineRule="exact"/>
      <w:jc w:val="both"/>
      <w:outlineLvl w:val="5"/>
    </w:pPr>
    <w:rPr>
      <w:rFonts w:ascii="Times New Roman" w:eastAsiaTheme="minorHAnsi" w:hAnsi="Times New Roman" w:cs="Times New Roman"/>
      <w:b/>
      <w:color w:val="auto"/>
      <w:sz w:val="22"/>
      <w:szCs w:val="22"/>
      <w:lang w:eastAsia="en-US"/>
    </w:rPr>
  </w:style>
  <w:style w:type="character" w:customStyle="1" w:styleId="Bodytext2">
    <w:name w:val="Body text (2)_"/>
    <w:link w:val="Bodytext21"/>
    <w:uiPriority w:val="99"/>
    <w:locked/>
    <w:rsid w:val="00F956E2"/>
    <w:rPr>
      <w:rFonts w:ascii="Times New Roman" w:hAnsi="Times New Roman" w:cs="Times New Roman"/>
      <w:shd w:val="clear" w:color="auto" w:fill="FFFFFF"/>
    </w:rPr>
  </w:style>
  <w:style w:type="paragraph" w:customStyle="1" w:styleId="Bodytext21">
    <w:name w:val="Body text (2)1"/>
    <w:basedOn w:val="Normal"/>
    <w:link w:val="Bodytext2"/>
    <w:uiPriority w:val="99"/>
    <w:rsid w:val="00F956E2"/>
    <w:pPr>
      <w:shd w:val="clear" w:color="auto" w:fill="FFFFFF"/>
      <w:spacing w:after="240" w:line="274" w:lineRule="exact"/>
      <w:ind w:hanging="740"/>
      <w:jc w:val="both"/>
    </w:pPr>
    <w:rPr>
      <w:rFonts w:ascii="Times New Roman" w:eastAsiaTheme="minorHAnsi" w:hAnsi="Times New Roman" w:cs="Times New Roman"/>
      <w:color w:val="auto"/>
      <w:sz w:val="22"/>
      <w:szCs w:val="22"/>
      <w:lang w:eastAsia="en-US"/>
    </w:rPr>
  </w:style>
  <w:style w:type="character" w:customStyle="1" w:styleId="Bodytext5">
    <w:name w:val="Body text (5)_"/>
    <w:link w:val="Bodytext50"/>
    <w:uiPriority w:val="99"/>
    <w:locked/>
    <w:rsid w:val="00F956E2"/>
    <w:rPr>
      <w:rFonts w:ascii="Times New Roman" w:hAnsi="Times New Roman" w:cs="Times New Roman"/>
      <w:b/>
      <w:shd w:val="clear" w:color="auto" w:fill="FFFFFF"/>
    </w:rPr>
  </w:style>
  <w:style w:type="paragraph" w:customStyle="1" w:styleId="Bodytext50">
    <w:name w:val="Body text (5)"/>
    <w:basedOn w:val="Normal"/>
    <w:link w:val="Bodytext5"/>
    <w:uiPriority w:val="99"/>
    <w:rsid w:val="00F956E2"/>
    <w:pPr>
      <w:shd w:val="clear" w:color="auto" w:fill="FFFFFF"/>
      <w:spacing w:before="240" w:after="60" w:line="274" w:lineRule="exact"/>
      <w:ind w:firstLine="600"/>
      <w:jc w:val="both"/>
    </w:pPr>
    <w:rPr>
      <w:rFonts w:ascii="Times New Roman" w:eastAsiaTheme="minorHAnsi" w:hAnsi="Times New Roman" w:cs="Times New Roman"/>
      <w:b/>
      <w:color w:val="auto"/>
      <w:sz w:val="22"/>
      <w:szCs w:val="22"/>
      <w:lang w:eastAsia="en-US"/>
    </w:rPr>
  </w:style>
  <w:style w:type="character" w:customStyle="1" w:styleId="Clause2Char">
    <w:name w:val="Clause2 Char"/>
    <w:link w:val="Clause2"/>
    <w:locked/>
    <w:rsid w:val="00F956E2"/>
    <w:rPr>
      <w:rFonts w:ascii="Arial" w:hAnsi="Arial" w:cs="Times New Roman"/>
      <w:sz w:val="24"/>
    </w:rPr>
  </w:style>
  <w:style w:type="paragraph" w:customStyle="1" w:styleId="Clause2">
    <w:name w:val="Clause2"/>
    <w:basedOn w:val="Normal"/>
    <w:link w:val="Clause2Char"/>
    <w:rsid w:val="00F956E2"/>
    <w:pPr>
      <w:widowControl/>
      <w:numPr>
        <w:ilvl w:val="1"/>
        <w:numId w:val="1"/>
      </w:numPr>
      <w:spacing w:before="120" w:after="120"/>
      <w:jc w:val="both"/>
    </w:pPr>
    <w:rPr>
      <w:rFonts w:ascii="Arial" w:eastAsiaTheme="minorHAnsi" w:hAnsi="Arial" w:cs="Times New Roman"/>
      <w:color w:val="auto"/>
      <w:szCs w:val="22"/>
      <w:lang w:eastAsia="en-US"/>
    </w:rPr>
  </w:style>
  <w:style w:type="paragraph" w:customStyle="1" w:styleId="Clause3RestartNumbering1">
    <w:name w:val="Clause3_RestartNumbering1"/>
    <w:basedOn w:val="Normal"/>
    <w:uiPriority w:val="99"/>
    <w:rsid w:val="00F956E2"/>
    <w:pPr>
      <w:widowControl/>
      <w:numPr>
        <w:ilvl w:val="2"/>
        <w:numId w:val="1"/>
      </w:numPr>
      <w:ind w:firstLine="851"/>
      <w:jc w:val="both"/>
    </w:pPr>
    <w:rPr>
      <w:rFonts w:ascii="Arial" w:eastAsia="Times New Roman" w:hAnsi="Arial" w:cs="Times New Roman"/>
      <w:bCs/>
      <w:spacing w:val="1"/>
      <w:lang w:eastAsia="en-US"/>
    </w:rPr>
  </w:style>
  <w:style w:type="character" w:customStyle="1" w:styleId="StyleClause2BoldChar">
    <w:name w:val="Style Clause2 + Bold Char"/>
    <w:link w:val="StyleClause2Bold"/>
    <w:uiPriority w:val="99"/>
    <w:locked/>
    <w:rsid w:val="00F956E2"/>
    <w:rPr>
      <w:rFonts w:ascii="Arial" w:hAnsi="Arial" w:cs="Times New Roman"/>
      <w:b/>
      <w:sz w:val="24"/>
    </w:rPr>
  </w:style>
  <w:style w:type="paragraph" w:customStyle="1" w:styleId="StyleClause2Bold">
    <w:name w:val="Style Clause2 + Bold"/>
    <w:basedOn w:val="Clause2"/>
    <w:link w:val="StyleClause2BoldChar"/>
    <w:uiPriority w:val="99"/>
    <w:rsid w:val="00F956E2"/>
    <w:rPr>
      <w:b/>
    </w:rPr>
  </w:style>
  <w:style w:type="character" w:customStyle="1" w:styleId="Bodytext2Bold">
    <w:name w:val="Body text (2) + Bold"/>
    <w:aliases w:val="Italic"/>
    <w:uiPriority w:val="99"/>
    <w:rsid w:val="00F956E2"/>
    <w:rPr>
      <w:rFonts w:ascii="Times New Roman" w:hAnsi="Times New Roman" w:cs="Times New Roman" w:hint="default"/>
      <w:b/>
      <w:bCs w:val="0"/>
      <w:i/>
      <w:iCs w:val="0"/>
      <w:strike w:val="0"/>
      <w:dstrike w:val="0"/>
      <w:color w:val="000000"/>
      <w:spacing w:val="0"/>
      <w:w w:val="100"/>
      <w:position w:val="0"/>
      <w:sz w:val="24"/>
      <w:u w:val="none"/>
      <w:effect w:val="none"/>
      <w:lang w:val="bg-BG" w:eastAsia="bg-BG"/>
    </w:rPr>
  </w:style>
  <w:style w:type="character" w:customStyle="1" w:styleId="Bodytext2Bold1">
    <w:name w:val="Body text (2) + Bold1"/>
    <w:uiPriority w:val="99"/>
    <w:rsid w:val="00F956E2"/>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character" w:customStyle="1" w:styleId="Bodytext20">
    <w:name w:val="Body text (2)"/>
    <w:uiPriority w:val="99"/>
    <w:rsid w:val="00F956E2"/>
    <w:rPr>
      <w:rFonts w:ascii="Times New Roman" w:hAnsi="Times New Roman" w:cs="Times New Roman" w:hint="default"/>
      <w:color w:val="000000"/>
      <w:spacing w:val="0"/>
      <w:w w:val="100"/>
      <w:position w:val="0"/>
      <w:sz w:val="24"/>
      <w:u w:val="single"/>
      <w:lang w:val="bg-BG" w:eastAsia="bg-BG"/>
    </w:rPr>
  </w:style>
  <w:style w:type="character" w:customStyle="1" w:styleId="Bodytext2Italic">
    <w:name w:val="Body text (2) +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22">
    <w:name w:val="Body text (2)2"/>
    <w:uiPriority w:val="99"/>
    <w:rsid w:val="00F956E2"/>
    <w:rPr>
      <w:rFonts w:ascii="Times New Roman" w:hAnsi="Times New Roman" w:cs="Times New Roman" w:hint="default"/>
      <w:strike w:val="0"/>
      <w:dstrike w:val="0"/>
      <w:color w:val="000000"/>
      <w:spacing w:val="0"/>
      <w:w w:val="100"/>
      <w:position w:val="0"/>
      <w:sz w:val="24"/>
      <w:u w:val="none"/>
      <w:effect w:val="none"/>
      <w:lang w:val="bg-BG" w:eastAsia="bg-BG"/>
    </w:rPr>
  </w:style>
  <w:style w:type="character" w:customStyle="1" w:styleId="Bodytext6NotItalic">
    <w:name w:val="Body text (6) + Not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6NotItalic1">
    <w:name w:val="Body text (6) + Not Italic1"/>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paragraph" w:customStyle="1" w:styleId="1">
    <w:name w:val="Списък на абзаци1"/>
    <w:basedOn w:val="Normal"/>
    <w:uiPriority w:val="99"/>
    <w:rsid w:val="009A1A50"/>
    <w:pPr>
      <w:widowControl/>
      <w:spacing w:before="120"/>
      <w:ind w:left="708" w:firstLine="567"/>
      <w:jc w:val="both"/>
    </w:pPr>
    <w:rPr>
      <w:rFonts w:ascii="Times New Roman" w:eastAsia="Times New Roman" w:hAnsi="Times New Roman" w:cs="Times New Roman"/>
      <w:color w:val="auto"/>
      <w:szCs w:val="20"/>
    </w:rPr>
  </w:style>
  <w:style w:type="paragraph" w:styleId="BalloonText">
    <w:name w:val="Balloon Text"/>
    <w:basedOn w:val="Normal"/>
    <w:link w:val="BalloonTextChar"/>
    <w:uiPriority w:val="99"/>
    <w:semiHidden/>
    <w:unhideWhenUsed/>
    <w:rsid w:val="00C62928"/>
    <w:rPr>
      <w:rFonts w:ascii="Tahoma" w:hAnsi="Tahoma" w:cs="Tahoma"/>
      <w:sz w:val="16"/>
      <w:szCs w:val="16"/>
    </w:rPr>
  </w:style>
  <w:style w:type="character" w:customStyle="1" w:styleId="BalloonTextChar">
    <w:name w:val="Balloon Text Char"/>
    <w:basedOn w:val="DefaultParagraphFont"/>
    <w:link w:val="BalloonText"/>
    <w:uiPriority w:val="99"/>
    <w:semiHidden/>
    <w:rsid w:val="00C62928"/>
    <w:rPr>
      <w:rFonts w:ascii="Tahoma" w:eastAsia="Microsoft Sans Serif" w:hAnsi="Tahoma" w:cs="Tahoma"/>
      <w:color w:val="000000"/>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6E2"/>
    <w:pPr>
      <w:widowControl w:val="0"/>
      <w:spacing w:after="0" w:line="240" w:lineRule="auto"/>
    </w:pPr>
    <w:rPr>
      <w:rFonts w:ascii="Microsoft Sans Serif" w:eastAsia="Microsoft Sans Serif" w:hAnsi="Microsoft Sans Serif" w:cs="Microsoft Sans Serif"/>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956E2"/>
    <w:rPr>
      <w:rFonts w:ascii="Times New Roman" w:hAnsi="Times New Roman" w:cs="Times New Roman" w:hint="default"/>
      <w:color w:val="0066CC"/>
      <w:u w:val="single"/>
    </w:rPr>
  </w:style>
  <w:style w:type="paragraph" w:styleId="NormalWeb">
    <w:name w:val="Normal (Web)"/>
    <w:basedOn w:val="Normal"/>
    <w:uiPriority w:val="99"/>
    <w:semiHidden/>
    <w:unhideWhenUsed/>
    <w:rsid w:val="00F956E2"/>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ListParagraphChar">
    <w:name w:val="List Paragraph Char"/>
    <w:link w:val="ListParagraph"/>
    <w:uiPriority w:val="34"/>
    <w:locked/>
    <w:rsid w:val="00F956E2"/>
    <w:rPr>
      <w:rFonts w:ascii="Times New Roman" w:hAnsi="Times New Roman" w:cs="Times New Roman"/>
      <w:color w:val="000000"/>
    </w:rPr>
  </w:style>
  <w:style w:type="paragraph" w:styleId="ListParagraph">
    <w:name w:val="List Paragraph"/>
    <w:basedOn w:val="Normal"/>
    <w:link w:val="ListParagraphChar"/>
    <w:uiPriority w:val="34"/>
    <w:qFormat/>
    <w:rsid w:val="00F956E2"/>
    <w:pPr>
      <w:ind w:left="720"/>
      <w:contextualSpacing/>
    </w:pPr>
    <w:rPr>
      <w:rFonts w:ascii="Times New Roman" w:eastAsiaTheme="minorHAnsi" w:hAnsi="Times New Roman" w:cs="Times New Roman"/>
      <w:sz w:val="22"/>
      <w:szCs w:val="22"/>
      <w:lang w:eastAsia="en-US"/>
    </w:rPr>
  </w:style>
  <w:style w:type="character" w:customStyle="1" w:styleId="Heading3">
    <w:name w:val="Heading #3_"/>
    <w:link w:val="Heading30"/>
    <w:uiPriority w:val="99"/>
    <w:locked/>
    <w:rsid w:val="00F956E2"/>
    <w:rPr>
      <w:rFonts w:ascii="Times New Roman" w:hAnsi="Times New Roman" w:cs="Times New Roman"/>
      <w:b/>
      <w:sz w:val="32"/>
      <w:shd w:val="clear" w:color="auto" w:fill="FFFFFF"/>
    </w:rPr>
  </w:style>
  <w:style w:type="paragraph" w:customStyle="1" w:styleId="Heading30">
    <w:name w:val="Heading #3"/>
    <w:basedOn w:val="Normal"/>
    <w:link w:val="Heading3"/>
    <w:uiPriority w:val="99"/>
    <w:rsid w:val="00F956E2"/>
    <w:pPr>
      <w:shd w:val="clear" w:color="auto" w:fill="FFFFFF"/>
      <w:spacing w:after="420" w:line="240" w:lineRule="atLeast"/>
      <w:jc w:val="center"/>
      <w:outlineLvl w:val="2"/>
    </w:pPr>
    <w:rPr>
      <w:rFonts w:ascii="Times New Roman" w:eastAsiaTheme="minorHAnsi" w:hAnsi="Times New Roman" w:cs="Times New Roman"/>
      <w:b/>
      <w:color w:val="auto"/>
      <w:sz w:val="32"/>
      <w:szCs w:val="22"/>
      <w:lang w:eastAsia="en-US"/>
    </w:rPr>
  </w:style>
  <w:style w:type="character" w:customStyle="1" w:styleId="Heading6">
    <w:name w:val="Heading #6_"/>
    <w:link w:val="Heading61"/>
    <w:uiPriority w:val="99"/>
    <w:locked/>
    <w:rsid w:val="00F956E2"/>
    <w:rPr>
      <w:rFonts w:ascii="Times New Roman" w:hAnsi="Times New Roman" w:cs="Times New Roman"/>
      <w:b/>
      <w:shd w:val="clear" w:color="auto" w:fill="FFFFFF"/>
    </w:rPr>
  </w:style>
  <w:style w:type="paragraph" w:customStyle="1" w:styleId="Heading61">
    <w:name w:val="Heading #61"/>
    <w:basedOn w:val="Normal"/>
    <w:link w:val="Heading6"/>
    <w:uiPriority w:val="99"/>
    <w:rsid w:val="00F956E2"/>
    <w:pPr>
      <w:shd w:val="clear" w:color="auto" w:fill="FFFFFF"/>
      <w:spacing w:before="420" w:line="274" w:lineRule="exact"/>
      <w:jc w:val="both"/>
      <w:outlineLvl w:val="5"/>
    </w:pPr>
    <w:rPr>
      <w:rFonts w:ascii="Times New Roman" w:eastAsiaTheme="minorHAnsi" w:hAnsi="Times New Roman" w:cs="Times New Roman"/>
      <w:b/>
      <w:color w:val="auto"/>
      <w:sz w:val="22"/>
      <w:szCs w:val="22"/>
      <w:lang w:eastAsia="en-US"/>
    </w:rPr>
  </w:style>
  <w:style w:type="character" w:customStyle="1" w:styleId="Bodytext2">
    <w:name w:val="Body text (2)_"/>
    <w:link w:val="Bodytext21"/>
    <w:uiPriority w:val="99"/>
    <w:locked/>
    <w:rsid w:val="00F956E2"/>
    <w:rPr>
      <w:rFonts w:ascii="Times New Roman" w:hAnsi="Times New Roman" w:cs="Times New Roman"/>
      <w:shd w:val="clear" w:color="auto" w:fill="FFFFFF"/>
    </w:rPr>
  </w:style>
  <w:style w:type="paragraph" w:customStyle="1" w:styleId="Bodytext21">
    <w:name w:val="Body text (2)1"/>
    <w:basedOn w:val="Normal"/>
    <w:link w:val="Bodytext2"/>
    <w:uiPriority w:val="99"/>
    <w:rsid w:val="00F956E2"/>
    <w:pPr>
      <w:shd w:val="clear" w:color="auto" w:fill="FFFFFF"/>
      <w:spacing w:after="240" w:line="274" w:lineRule="exact"/>
      <w:ind w:hanging="740"/>
      <w:jc w:val="both"/>
    </w:pPr>
    <w:rPr>
      <w:rFonts w:ascii="Times New Roman" w:eastAsiaTheme="minorHAnsi" w:hAnsi="Times New Roman" w:cs="Times New Roman"/>
      <w:color w:val="auto"/>
      <w:sz w:val="22"/>
      <w:szCs w:val="22"/>
      <w:lang w:eastAsia="en-US"/>
    </w:rPr>
  </w:style>
  <w:style w:type="character" w:customStyle="1" w:styleId="Bodytext5">
    <w:name w:val="Body text (5)_"/>
    <w:link w:val="Bodytext50"/>
    <w:uiPriority w:val="99"/>
    <w:locked/>
    <w:rsid w:val="00F956E2"/>
    <w:rPr>
      <w:rFonts w:ascii="Times New Roman" w:hAnsi="Times New Roman" w:cs="Times New Roman"/>
      <w:b/>
      <w:shd w:val="clear" w:color="auto" w:fill="FFFFFF"/>
    </w:rPr>
  </w:style>
  <w:style w:type="paragraph" w:customStyle="1" w:styleId="Bodytext50">
    <w:name w:val="Body text (5)"/>
    <w:basedOn w:val="Normal"/>
    <w:link w:val="Bodytext5"/>
    <w:uiPriority w:val="99"/>
    <w:rsid w:val="00F956E2"/>
    <w:pPr>
      <w:shd w:val="clear" w:color="auto" w:fill="FFFFFF"/>
      <w:spacing w:before="240" w:after="60" w:line="274" w:lineRule="exact"/>
      <w:ind w:firstLine="600"/>
      <w:jc w:val="both"/>
    </w:pPr>
    <w:rPr>
      <w:rFonts w:ascii="Times New Roman" w:eastAsiaTheme="minorHAnsi" w:hAnsi="Times New Roman" w:cs="Times New Roman"/>
      <w:b/>
      <w:color w:val="auto"/>
      <w:sz w:val="22"/>
      <w:szCs w:val="22"/>
      <w:lang w:eastAsia="en-US"/>
    </w:rPr>
  </w:style>
  <w:style w:type="character" w:customStyle="1" w:styleId="Clause2Char">
    <w:name w:val="Clause2 Char"/>
    <w:link w:val="Clause2"/>
    <w:locked/>
    <w:rsid w:val="00F956E2"/>
    <w:rPr>
      <w:rFonts w:ascii="Arial" w:hAnsi="Arial" w:cs="Times New Roman"/>
      <w:sz w:val="24"/>
    </w:rPr>
  </w:style>
  <w:style w:type="paragraph" w:customStyle="1" w:styleId="Clause2">
    <w:name w:val="Clause2"/>
    <w:basedOn w:val="Normal"/>
    <w:link w:val="Clause2Char"/>
    <w:rsid w:val="00F956E2"/>
    <w:pPr>
      <w:widowControl/>
      <w:numPr>
        <w:ilvl w:val="1"/>
        <w:numId w:val="1"/>
      </w:numPr>
      <w:spacing w:before="120" w:after="120"/>
      <w:jc w:val="both"/>
    </w:pPr>
    <w:rPr>
      <w:rFonts w:ascii="Arial" w:eastAsiaTheme="minorHAnsi" w:hAnsi="Arial" w:cs="Times New Roman"/>
      <w:color w:val="auto"/>
      <w:szCs w:val="22"/>
      <w:lang w:eastAsia="en-US"/>
    </w:rPr>
  </w:style>
  <w:style w:type="paragraph" w:customStyle="1" w:styleId="Clause3RestartNumbering1">
    <w:name w:val="Clause3_RestartNumbering1"/>
    <w:basedOn w:val="Normal"/>
    <w:uiPriority w:val="99"/>
    <w:rsid w:val="00F956E2"/>
    <w:pPr>
      <w:widowControl/>
      <w:numPr>
        <w:ilvl w:val="2"/>
        <w:numId w:val="1"/>
      </w:numPr>
      <w:ind w:firstLine="851"/>
      <w:jc w:val="both"/>
    </w:pPr>
    <w:rPr>
      <w:rFonts w:ascii="Arial" w:eastAsia="Times New Roman" w:hAnsi="Arial" w:cs="Times New Roman"/>
      <w:bCs/>
      <w:spacing w:val="1"/>
      <w:lang w:eastAsia="en-US"/>
    </w:rPr>
  </w:style>
  <w:style w:type="character" w:customStyle="1" w:styleId="StyleClause2BoldChar">
    <w:name w:val="Style Clause2 + Bold Char"/>
    <w:link w:val="StyleClause2Bold"/>
    <w:uiPriority w:val="99"/>
    <w:locked/>
    <w:rsid w:val="00F956E2"/>
    <w:rPr>
      <w:rFonts w:ascii="Arial" w:hAnsi="Arial" w:cs="Times New Roman"/>
      <w:b/>
      <w:sz w:val="24"/>
    </w:rPr>
  </w:style>
  <w:style w:type="paragraph" w:customStyle="1" w:styleId="StyleClause2Bold">
    <w:name w:val="Style Clause2 + Bold"/>
    <w:basedOn w:val="Clause2"/>
    <w:link w:val="StyleClause2BoldChar"/>
    <w:uiPriority w:val="99"/>
    <w:rsid w:val="00F956E2"/>
    <w:rPr>
      <w:b/>
    </w:rPr>
  </w:style>
  <w:style w:type="character" w:customStyle="1" w:styleId="Bodytext2Bold">
    <w:name w:val="Body text (2) + Bold"/>
    <w:aliases w:val="Italic"/>
    <w:uiPriority w:val="99"/>
    <w:rsid w:val="00F956E2"/>
    <w:rPr>
      <w:rFonts w:ascii="Times New Roman" w:hAnsi="Times New Roman" w:cs="Times New Roman" w:hint="default"/>
      <w:b/>
      <w:bCs w:val="0"/>
      <w:i/>
      <w:iCs w:val="0"/>
      <w:strike w:val="0"/>
      <w:dstrike w:val="0"/>
      <w:color w:val="000000"/>
      <w:spacing w:val="0"/>
      <w:w w:val="100"/>
      <w:position w:val="0"/>
      <w:sz w:val="24"/>
      <w:u w:val="none"/>
      <w:effect w:val="none"/>
      <w:lang w:val="bg-BG" w:eastAsia="bg-BG"/>
    </w:rPr>
  </w:style>
  <w:style w:type="character" w:customStyle="1" w:styleId="Bodytext2Bold1">
    <w:name w:val="Body text (2) + Bold1"/>
    <w:uiPriority w:val="99"/>
    <w:rsid w:val="00F956E2"/>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character" w:customStyle="1" w:styleId="Bodytext20">
    <w:name w:val="Body text (2)"/>
    <w:uiPriority w:val="99"/>
    <w:rsid w:val="00F956E2"/>
    <w:rPr>
      <w:rFonts w:ascii="Times New Roman" w:hAnsi="Times New Roman" w:cs="Times New Roman" w:hint="default"/>
      <w:color w:val="000000"/>
      <w:spacing w:val="0"/>
      <w:w w:val="100"/>
      <w:position w:val="0"/>
      <w:sz w:val="24"/>
      <w:u w:val="single"/>
      <w:lang w:val="bg-BG" w:eastAsia="bg-BG"/>
    </w:rPr>
  </w:style>
  <w:style w:type="character" w:customStyle="1" w:styleId="Bodytext2Italic">
    <w:name w:val="Body text (2) +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22">
    <w:name w:val="Body text (2)2"/>
    <w:uiPriority w:val="99"/>
    <w:rsid w:val="00F956E2"/>
    <w:rPr>
      <w:rFonts w:ascii="Times New Roman" w:hAnsi="Times New Roman" w:cs="Times New Roman" w:hint="default"/>
      <w:strike w:val="0"/>
      <w:dstrike w:val="0"/>
      <w:color w:val="000000"/>
      <w:spacing w:val="0"/>
      <w:w w:val="100"/>
      <w:position w:val="0"/>
      <w:sz w:val="24"/>
      <w:u w:val="none"/>
      <w:effect w:val="none"/>
      <w:lang w:val="bg-BG" w:eastAsia="bg-BG"/>
    </w:rPr>
  </w:style>
  <w:style w:type="character" w:customStyle="1" w:styleId="Bodytext6NotItalic">
    <w:name w:val="Body text (6) + Not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6NotItalic1">
    <w:name w:val="Body text (6) + Not Italic1"/>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paragraph" w:customStyle="1" w:styleId="1">
    <w:name w:val="Списък на абзаци1"/>
    <w:basedOn w:val="Normal"/>
    <w:uiPriority w:val="99"/>
    <w:rsid w:val="009A1A50"/>
    <w:pPr>
      <w:widowControl/>
      <w:spacing w:before="120"/>
      <w:ind w:left="708" w:firstLine="567"/>
      <w:jc w:val="both"/>
    </w:pPr>
    <w:rPr>
      <w:rFonts w:ascii="Times New Roman" w:eastAsia="Times New Roman" w:hAnsi="Times New Roman" w:cs="Times New Roman"/>
      <w:color w:val="auto"/>
      <w:szCs w:val="20"/>
    </w:rPr>
  </w:style>
  <w:style w:type="paragraph" w:styleId="BalloonText">
    <w:name w:val="Balloon Text"/>
    <w:basedOn w:val="Normal"/>
    <w:link w:val="BalloonTextChar"/>
    <w:uiPriority w:val="99"/>
    <w:semiHidden/>
    <w:unhideWhenUsed/>
    <w:rsid w:val="00C62928"/>
    <w:rPr>
      <w:rFonts w:ascii="Tahoma" w:hAnsi="Tahoma" w:cs="Tahoma"/>
      <w:sz w:val="16"/>
      <w:szCs w:val="16"/>
    </w:rPr>
  </w:style>
  <w:style w:type="character" w:customStyle="1" w:styleId="BalloonTextChar">
    <w:name w:val="Balloon Text Char"/>
    <w:basedOn w:val="DefaultParagraphFont"/>
    <w:link w:val="BalloonText"/>
    <w:uiPriority w:val="99"/>
    <w:semiHidden/>
    <w:rsid w:val="00C62928"/>
    <w:rPr>
      <w:rFonts w:ascii="Tahoma" w:eastAsia="Microsoft Sans Serif" w:hAnsi="Tahoma" w:cs="Tahoma"/>
      <w:color w:val="000000"/>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595597">
      <w:bodyDiv w:val="1"/>
      <w:marLeft w:val="0"/>
      <w:marRight w:val="0"/>
      <w:marTop w:val="0"/>
      <w:marBottom w:val="0"/>
      <w:divBdr>
        <w:top w:val="none" w:sz="0" w:space="0" w:color="auto"/>
        <w:left w:val="none" w:sz="0" w:space="0" w:color="auto"/>
        <w:bottom w:val="none" w:sz="0" w:space="0" w:color="auto"/>
        <w:right w:val="none" w:sz="0" w:space="0" w:color="auto"/>
      </w:divBdr>
    </w:div>
    <w:div w:id="1131093369">
      <w:bodyDiv w:val="1"/>
      <w:marLeft w:val="0"/>
      <w:marRight w:val="0"/>
      <w:marTop w:val="0"/>
      <w:marBottom w:val="0"/>
      <w:divBdr>
        <w:top w:val="none" w:sz="0" w:space="0" w:color="auto"/>
        <w:left w:val="none" w:sz="0" w:space="0" w:color="auto"/>
        <w:bottom w:val="none" w:sz="0" w:space="0" w:color="auto"/>
        <w:right w:val="none" w:sz="0" w:space="0" w:color="auto"/>
      </w:divBdr>
    </w:div>
    <w:div w:id="1395666962">
      <w:bodyDiv w:val="1"/>
      <w:marLeft w:val="0"/>
      <w:marRight w:val="0"/>
      <w:marTop w:val="0"/>
      <w:marBottom w:val="0"/>
      <w:divBdr>
        <w:top w:val="none" w:sz="0" w:space="0" w:color="auto"/>
        <w:left w:val="none" w:sz="0" w:space="0" w:color="auto"/>
        <w:bottom w:val="none" w:sz="0" w:space="0" w:color="auto"/>
        <w:right w:val="none" w:sz="0" w:space="0" w:color="auto"/>
      </w:divBdr>
    </w:div>
    <w:div w:id="1747536441">
      <w:bodyDiv w:val="1"/>
      <w:marLeft w:val="0"/>
      <w:marRight w:val="0"/>
      <w:marTop w:val="0"/>
      <w:marBottom w:val="0"/>
      <w:divBdr>
        <w:top w:val="none" w:sz="0" w:space="0" w:color="auto"/>
        <w:left w:val="none" w:sz="0" w:space="0" w:color="auto"/>
        <w:bottom w:val="none" w:sz="0" w:space="0" w:color="auto"/>
        <w:right w:val="none" w:sz="0" w:space="0" w:color="auto"/>
      </w:divBdr>
    </w:div>
    <w:div w:id="200981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nb.bg/AboutUs/AUPublicProcurements/AUPPList/PP_01224-2018-INV_2_B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2166</Words>
  <Characters>12347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2017-03-27T07:11:00Z</dcterms:created>
  <dcterms:modified xsi:type="dcterms:W3CDTF">2018-03-13T12:48:00Z</dcterms:modified>
</cp:coreProperties>
</file>