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4785" w:rsidRPr="00955E83" w:rsidRDefault="00994785" w:rsidP="00077228">
      <w:pPr>
        <w:tabs>
          <w:tab w:val="left" w:pos="142"/>
        </w:tabs>
        <w:spacing w:after="120" w:line="360" w:lineRule="auto"/>
        <w:ind w:left="426" w:firstLine="141"/>
        <w:jc w:val="center"/>
        <w:rPr>
          <w:b/>
          <w:sz w:val="28"/>
          <w:szCs w:val="28"/>
          <w:lang w:val="bg-BG"/>
        </w:rPr>
      </w:pPr>
      <w:r w:rsidRPr="00955E83">
        <w:rPr>
          <w:b/>
          <w:sz w:val="28"/>
          <w:szCs w:val="28"/>
          <w:lang w:val="bg-BG"/>
        </w:rPr>
        <w:t>ТЕХНИЧЕСКА СПЕЦИФИКАЦИЯ</w:t>
      </w:r>
    </w:p>
    <w:p w:rsidR="00994785" w:rsidRPr="00955E83" w:rsidRDefault="00994785" w:rsidP="00077228">
      <w:pPr>
        <w:spacing w:after="120" w:line="360" w:lineRule="auto"/>
        <w:jc w:val="center"/>
        <w:rPr>
          <w:sz w:val="28"/>
          <w:szCs w:val="28"/>
          <w:lang w:val="bg-BG"/>
        </w:rPr>
      </w:pPr>
      <w:r w:rsidRPr="00955E83">
        <w:rPr>
          <w:b/>
          <w:sz w:val="28"/>
          <w:szCs w:val="28"/>
          <w:lang w:val="bg-BG"/>
        </w:rPr>
        <w:t xml:space="preserve"> за </w:t>
      </w:r>
      <w:r w:rsidR="007B7A38" w:rsidRPr="00955E83">
        <w:rPr>
          <w:b/>
          <w:sz w:val="28"/>
          <w:szCs w:val="28"/>
          <w:lang w:val="bg-BG"/>
        </w:rPr>
        <w:t xml:space="preserve">дейностите по </w:t>
      </w:r>
      <w:r w:rsidR="00642329" w:rsidRPr="00955E83">
        <w:rPr>
          <w:b/>
          <w:sz w:val="28"/>
          <w:szCs w:val="28"/>
          <w:lang w:val="bg-BG"/>
        </w:rPr>
        <w:t>извънгаранционна поддръжка и развитие на страницата на БНБ в интернет</w:t>
      </w:r>
    </w:p>
    <w:p w:rsidR="00994785" w:rsidRPr="00955E83" w:rsidRDefault="00994785">
      <w:pPr>
        <w:pStyle w:val="TOCHeading"/>
        <w:rPr>
          <w:lang w:val="bg-BG"/>
        </w:rPr>
      </w:pPr>
      <w:r w:rsidRPr="00955E83">
        <w:rPr>
          <w:lang w:val="bg-BG"/>
        </w:rPr>
        <w:t>Съдържание</w:t>
      </w:r>
    </w:p>
    <w:p w:rsidR="00784524" w:rsidRDefault="00C149AD">
      <w:pPr>
        <w:pStyle w:val="TOC1"/>
        <w:tabs>
          <w:tab w:val="right" w:leader="dot" w:pos="9062"/>
        </w:tabs>
        <w:rPr>
          <w:rFonts w:asciiTheme="minorHAnsi" w:eastAsiaTheme="minorEastAsia" w:hAnsiTheme="minorHAnsi" w:cstheme="minorBidi"/>
          <w:noProof/>
          <w:sz w:val="22"/>
        </w:rPr>
      </w:pPr>
      <w:r w:rsidRPr="00955E83">
        <w:rPr>
          <w:lang w:val="bg-BG"/>
        </w:rPr>
        <w:fldChar w:fldCharType="begin"/>
      </w:r>
      <w:r w:rsidR="00994785" w:rsidRPr="00955E83">
        <w:rPr>
          <w:lang w:val="bg-BG"/>
        </w:rPr>
        <w:instrText xml:space="preserve"> TOC \o "1-3" \h \z \u </w:instrText>
      </w:r>
      <w:r w:rsidRPr="00955E83">
        <w:rPr>
          <w:lang w:val="bg-BG"/>
        </w:rPr>
        <w:fldChar w:fldCharType="separate"/>
      </w:r>
      <w:hyperlink w:anchor="_Toc522710098" w:history="1">
        <w:r w:rsidR="00784524" w:rsidRPr="003020AE">
          <w:rPr>
            <w:rStyle w:val="Hyperlink"/>
            <w:noProof/>
          </w:rPr>
          <w:t>I.</w:t>
        </w:r>
        <w:r w:rsidR="00784524" w:rsidRPr="003020AE">
          <w:rPr>
            <w:rStyle w:val="Hyperlink"/>
            <w:noProof/>
            <w:lang w:val="bg-BG"/>
          </w:rPr>
          <w:t xml:space="preserve"> Описание на Интернет страницата на БНБ</w:t>
        </w:r>
        <w:r w:rsidR="00784524">
          <w:rPr>
            <w:noProof/>
            <w:webHidden/>
          </w:rPr>
          <w:tab/>
        </w:r>
        <w:r>
          <w:rPr>
            <w:noProof/>
            <w:webHidden/>
          </w:rPr>
          <w:fldChar w:fldCharType="begin"/>
        </w:r>
        <w:r w:rsidR="00784524">
          <w:rPr>
            <w:noProof/>
            <w:webHidden/>
          </w:rPr>
          <w:instrText xml:space="preserve"> PAGEREF _Toc522710098 \h </w:instrText>
        </w:r>
        <w:r>
          <w:rPr>
            <w:noProof/>
            <w:webHidden/>
          </w:rPr>
        </w:r>
        <w:r>
          <w:rPr>
            <w:noProof/>
            <w:webHidden/>
          </w:rPr>
          <w:fldChar w:fldCharType="separate"/>
        </w:r>
        <w:r w:rsidR="005C6359">
          <w:rPr>
            <w:noProof/>
            <w:webHidden/>
          </w:rPr>
          <w:t>2</w:t>
        </w:r>
        <w:r>
          <w:rPr>
            <w:noProof/>
            <w:webHidden/>
          </w:rPr>
          <w:fldChar w:fldCharType="end"/>
        </w:r>
      </w:hyperlink>
    </w:p>
    <w:p w:rsidR="00784524" w:rsidRDefault="003A0400">
      <w:pPr>
        <w:pStyle w:val="TOC1"/>
        <w:tabs>
          <w:tab w:val="right" w:leader="dot" w:pos="9062"/>
        </w:tabs>
        <w:rPr>
          <w:rFonts w:asciiTheme="minorHAnsi" w:eastAsiaTheme="minorEastAsia" w:hAnsiTheme="minorHAnsi" w:cstheme="minorBidi"/>
          <w:noProof/>
          <w:sz w:val="22"/>
        </w:rPr>
      </w:pPr>
      <w:hyperlink w:anchor="_Toc522710099" w:history="1">
        <w:r w:rsidR="00784524" w:rsidRPr="003020AE">
          <w:rPr>
            <w:rStyle w:val="Hyperlink"/>
            <w:noProof/>
            <w:lang w:val="bg-BG"/>
          </w:rPr>
          <w:t>II. Дейности по извънгаранционна поддръжка (абонаментно обслужване)</w:t>
        </w:r>
        <w:r w:rsidR="00784524" w:rsidRPr="003020AE">
          <w:rPr>
            <w:rStyle w:val="Hyperlink"/>
            <w:noProof/>
          </w:rPr>
          <w:t>.</w:t>
        </w:r>
        <w:r w:rsidR="00784524">
          <w:rPr>
            <w:noProof/>
            <w:webHidden/>
          </w:rPr>
          <w:tab/>
        </w:r>
        <w:r w:rsidR="00C149AD">
          <w:rPr>
            <w:noProof/>
            <w:webHidden/>
          </w:rPr>
          <w:fldChar w:fldCharType="begin"/>
        </w:r>
        <w:r w:rsidR="00784524">
          <w:rPr>
            <w:noProof/>
            <w:webHidden/>
          </w:rPr>
          <w:instrText xml:space="preserve"> PAGEREF _Toc522710099 \h </w:instrText>
        </w:r>
        <w:r w:rsidR="00C149AD">
          <w:rPr>
            <w:noProof/>
            <w:webHidden/>
          </w:rPr>
        </w:r>
        <w:r w:rsidR="00C149AD">
          <w:rPr>
            <w:noProof/>
            <w:webHidden/>
          </w:rPr>
          <w:fldChar w:fldCharType="separate"/>
        </w:r>
        <w:r w:rsidR="005C6359">
          <w:rPr>
            <w:noProof/>
            <w:webHidden/>
          </w:rPr>
          <w:t>4</w:t>
        </w:r>
        <w:r w:rsidR="00C149AD">
          <w:rPr>
            <w:noProof/>
            <w:webHidden/>
          </w:rPr>
          <w:fldChar w:fldCharType="end"/>
        </w:r>
      </w:hyperlink>
    </w:p>
    <w:p w:rsidR="00784524" w:rsidRDefault="003A0400">
      <w:pPr>
        <w:pStyle w:val="TOC2"/>
        <w:tabs>
          <w:tab w:val="right" w:leader="dot" w:pos="9062"/>
        </w:tabs>
        <w:rPr>
          <w:rFonts w:asciiTheme="minorHAnsi" w:eastAsiaTheme="minorEastAsia" w:hAnsiTheme="minorHAnsi" w:cstheme="minorBidi"/>
          <w:noProof/>
          <w:sz w:val="22"/>
        </w:rPr>
      </w:pPr>
      <w:hyperlink w:anchor="_Toc522710100" w:history="1">
        <w:r w:rsidR="00784524" w:rsidRPr="003020AE">
          <w:rPr>
            <w:rStyle w:val="Hyperlink"/>
            <w:noProof/>
            <w:lang w:val="bg-BG"/>
          </w:rPr>
          <w:t>1. Списък на дейностите</w:t>
        </w:r>
        <w:r w:rsidR="00784524">
          <w:rPr>
            <w:noProof/>
            <w:webHidden/>
          </w:rPr>
          <w:tab/>
        </w:r>
        <w:r w:rsidR="00C149AD">
          <w:rPr>
            <w:noProof/>
            <w:webHidden/>
          </w:rPr>
          <w:fldChar w:fldCharType="begin"/>
        </w:r>
        <w:r w:rsidR="00784524">
          <w:rPr>
            <w:noProof/>
            <w:webHidden/>
          </w:rPr>
          <w:instrText xml:space="preserve"> PAGEREF _Toc522710100 \h </w:instrText>
        </w:r>
        <w:r w:rsidR="00C149AD">
          <w:rPr>
            <w:noProof/>
            <w:webHidden/>
          </w:rPr>
        </w:r>
        <w:r w:rsidR="00C149AD">
          <w:rPr>
            <w:noProof/>
            <w:webHidden/>
          </w:rPr>
          <w:fldChar w:fldCharType="separate"/>
        </w:r>
        <w:r w:rsidR="005C6359">
          <w:rPr>
            <w:noProof/>
            <w:webHidden/>
          </w:rPr>
          <w:t>4</w:t>
        </w:r>
        <w:r w:rsidR="00C149AD">
          <w:rPr>
            <w:noProof/>
            <w:webHidden/>
          </w:rPr>
          <w:fldChar w:fldCharType="end"/>
        </w:r>
      </w:hyperlink>
    </w:p>
    <w:p w:rsidR="00784524" w:rsidRDefault="003A0400">
      <w:pPr>
        <w:pStyle w:val="TOC2"/>
        <w:tabs>
          <w:tab w:val="right" w:leader="dot" w:pos="9062"/>
        </w:tabs>
        <w:rPr>
          <w:rFonts w:asciiTheme="minorHAnsi" w:eastAsiaTheme="minorEastAsia" w:hAnsiTheme="minorHAnsi" w:cstheme="minorBidi"/>
          <w:noProof/>
          <w:sz w:val="22"/>
        </w:rPr>
      </w:pPr>
      <w:hyperlink w:anchor="_Toc522710101" w:history="1">
        <w:r w:rsidR="00784524" w:rsidRPr="003020AE">
          <w:rPr>
            <w:rStyle w:val="Hyperlink"/>
            <w:noProof/>
            <w:lang w:val="bg-BG"/>
          </w:rPr>
          <w:t>2. Дефиниции</w:t>
        </w:r>
        <w:r w:rsidR="00784524">
          <w:rPr>
            <w:noProof/>
            <w:webHidden/>
          </w:rPr>
          <w:tab/>
        </w:r>
        <w:r w:rsidR="00C149AD">
          <w:rPr>
            <w:noProof/>
            <w:webHidden/>
          </w:rPr>
          <w:fldChar w:fldCharType="begin"/>
        </w:r>
        <w:r w:rsidR="00784524">
          <w:rPr>
            <w:noProof/>
            <w:webHidden/>
          </w:rPr>
          <w:instrText xml:space="preserve"> PAGEREF _Toc522710101 \h </w:instrText>
        </w:r>
        <w:r w:rsidR="00C149AD">
          <w:rPr>
            <w:noProof/>
            <w:webHidden/>
          </w:rPr>
        </w:r>
        <w:r w:rsidR="00C149AD">
          <w:rPr>
            <w:noProof/>
            <w:webHidden/>
          </w:rPr>
          <w:fldChar w:fldCharType="separate"/>
        </w:r>
        <w:r w:rsidR="005C6359">
          <w:rPr>
            <w:noProof/>
            <w:webHidden/>
          </w:rPr>
          <w:t>5</w:t>
        </w:r>
        <w:r w:rsidR="00C149AD">
          <w:rPr>
            <w:noProof/>
            <w:webHidden/>
          </w:rPr>
          <w:fldChar w:fldCharType="end"/>
        </w:r>
      </w:hyperlink>
    </w:p>
    <w:p w:rsidR="00784524" w:rsidRDefault="003A0400">
      <w:pPr>
        <w:pStyle w:val="TOC2"/>
        <w:tabs>
          <w:tab w:val="right" w:leader="dot" w:pos="9062"/>
        </w:tabs>
        <w:rPr>
          <w:rFonts w:asciiTheme="minorHAnsi" w:eastAsiaTheme="minorEastAsia" w:hAnsiTheme="minorHAnsi" w:cstheme="minorBidi"/>
          <w:noProof/>
          <w:sz w:val="22"/>
        </w:rPr>
      </w:pPr>
      <w:hyperlink w:anchor="_Toc522710102" w:history="1">
        <w:r w:rsidR="00784524" w:rsidRPr="003020AE">
          <w:rPr>
            <w:rStyle w:val="Hyperlink"/>
            <w:noProof/>
            <w:lang w:val="bg-BG"/>
          </w:rPr>
          <w:t>3. Процедура при възникване на инцидент</w:t>
        </w:r>
        <w:r w:rsidR="00784524">
          <w:rPr>
            <w:noProof/>
            <w:webHidden/>
          </w:rPr>
          <w:tab/>
        </w:r>
        <w:r w:rsidR="00C149AD">
          <w:rPr>
            <w:noProof/>
            <w:webHidden/>
          </w:rPr>
          <w:fldChar w:fldCharType="begin"/>
        </w:r>
        <w:r w:rsidR="00784524">
          <w:rPr>
            <w:noProof/>
            <w:webHidden/>
          </w:rPr>
          <w:instrText xml:space="preserve"> PAGEREF _Toc522710102 \h </w:instrText>
        </w:r>
        <w:r w:rsidR="00C149AD">
          <w:rPr>
            <w:noProof/>
            <w:webHidden/>
          </w:rPr>
        </w:r>
        <w:r w:rsidR="00C149AD">
          <w:rPr>
            <w:noProof/>
            <w:webHidden/>
          </w:rPr>
          <w:fldChar w:fldCharType="separate"/>
        </w:r>
        <w:r w:rsidR="005C6359">
          <w:rPr>
            <w:noProof/>
            <w:webHidden/>
          </w:rPr>
          <w:t>5</w:t>
        </w:r>
        <w:r w:rsidR="00C149AD">
          <w:rPr>
            <w:noProof/>
            <w:webHidden/>
          </w:rPr>
          <w:fldChar w:fldCharType="end"/>
        </w:r>
      </w:hyperlink>
    </w:p>
    <w:p w:rsidR="00784524" w:rsidRDefault="003A0400">
      <w:pPr>
        <w:pStyle w:val="TOC2"/>
        <w:tabs>
          <w:tab w:val="right" w:leader="dot" w:pos="9062"/>
        </w:tabs>
        <w:rPr>
          <w:rFonts w:asciiTheme="minorHAnsi" w:eastAsiaTheme="minorEastAsia" w:hAnsiTheme="minorHAnsi" w:cstheme="minorBidi"/>
          <w:noProof/>
          <w:sz w:val="22"/>
        </w:rPr>
      </w:pPr>
      <w:hyperlink w:anchor="_Toc522710103" w:history="1">
        <w:r w:rsidR="00784524" w:rsidRPr="003020AE">
          <w:rPr>
            <w:rStyle w:val="Hyperlink"/>
            <w:noProof/>
            <w:lang w:val="bg-BG"/>
          </w:rPr>
          <w:t>4. Процедура при възникване на проблеми, недостатъци и грешки.</w:t>
        </w:r>
        <w:r w:rsidR="00784524">
          <w:rPr>
            <w:noProof/>
            <w:webHidden/>
          </w:rPr>
          <w:tab/>
        </w:r>
        <w:r w:rsidR="00C149AD">
          <w:rPr>
            <w:noProof/>
            <w:webHidden/>
          </w:rPr>
          <w:fldChar w:fldCharType="begin"/>
        </w:r>
        <w:r w:rsidR="00784524">
          <w:rPr>
            <w:noProof/>
            <w:webHidden/>
          </w:rPr>
          <w:instrText xml:space="preserve"> PAGEREF _Toc522710103 \h </w:instrText>
        </w:r>
        <w:r w:rsidR="00C149AD">
          <w:rPr>
            <w:noProof/>
            <w:webHidden/>
          </w:rPr>
        </w:r>
        <w:r w:rsidR="00C149AD">
          <w:rPr>
            <w:noProof/>
            <w:webHidden/>
          </w:rPr>
          <w:fldChar w:fldCharType="separate"/>
        </w:r>
        <w:r w:rsidR="005C6359">
          <w:rPr>
            <w:noProof/>
            <w:webHidden/>
          </w:rPr>
          <w:t>6</w:t>
        </w:r>
        <w:r w:rsidR="00C149AD">
          <w:rPr>
            <w:noProof/>
            <w:webHidden/>
          </w:rPr>
          <w:fldChar w:fldCharType="end"/>
        </w:r>
      </w:hyperlink>
    </w:p>
    <w:p w:rsidR="00784524" w:rsidRDefault="003A0400">
      <w:pPr>
        <w:pStyle w:val="TOC1"/>
        <w:tabs>
          <w:tab w:val="right" w:leader="dot" w:pos="9062"/>
        </w:tabs>
        <w:rPr>
          <w:rFonts w:asciiTheme="minorHAnsi" w:eastAsiaTheme="minorEastAsia" w:hAnsiTheme="minorHAnsi" w:cstheme="minorBidi"/>
          <w:noProof/>
          <w:sz w:val="22"/>
        </w:rPr>
      </w:pPr>
      <w:hyperlink w:anchor="_Toc522710104" w:history="1">
        <w:r w:rsidR="00784524" w:rsidRPr="003020AE">
          <w:rPr>
            <w:rStyle w:val="Hyperlink"/>
            <w:noProof/>
            <w:lang w:val="bg-BG"/>
          </w:rPr>
          <w:t>III. Проектиране, разработване и внедряване на подобрения, изменения и допълнения, наричани за краткост „актуализации“.</w:t>
        </w:r>
        <w:r w:rsidR="00784524">
          <w:rPr>
            <w:noProof/>
            <w:webHidden/>
          </w:rPr>
          <w:tab/>
        </w:r>
        <w:r w:rsidR="00C149AD">
          <w:rPr>
            <w:noProof/>
            <w:webHidden/>
          </w:rPr>
          <w:fldChar w:fldCharType="begin"/>
        </w:r>
        <w:r w:rsidR="00784524">
          <w:rPr>
            <w:noProof/>
            <w:webHidden/>
          </w:rPr>
          <w:instrText xml:space="preserve"> PAGEREF _Toc522710104 \h </w:instrText>
        </w:r>
        <w:r w:rsidR="00C149AD">
          <w:rPr>
            <w:noProof/>
            <w:webHidden/>
          </w:rPr>
        </w:r>
        <w:r w:rsidR="00C149AD">
          <w:rPr>
            <w:noProof/>
            <w:webHidden/>
          </w:rPr>
          <w:fldChar w:fldCharType="separate"/>
        </w:r>
        <w:r w:rsidR="005C6359">
          <w:rPr>
            <w:noProof/>
            <w:webHidden/>
          </w:rPr>
          <w:t>7</w:t>
        </w:r>
        <w:r w:rsidR="00C149AD">
          <w:rPr>
            <w:noProof/>
            <w:webHidden/>
          </w:rPr>
          <w:fldChar w:fldCharType="end"/>
        </w:r>
      </w:hyperlink>
    </w:p>
    <w:p w:rsidR="00784524" w:rsidRDefault="003A0400">
      <w:pPr>
        <w:pStyle w:val="TOC2"/>
        <w:tabs>
          <w:tab w:val="right" w:leader="dot" w:pos="9062"/>
        </w:tabs>
        <w:rPr>
          <w:rFonts w:asciiTheme="minorHAnsi" w:eastAsiaTheme="minorEastAsia" w:hAnsiTheme="minorHAnsi" w:cstheme="minorBidi"/>
          <w:noProof/>
          <w:sz w:val="22"/>
        </w:rPr>
      </w:pPr>
      <w:hyperlink w:anchor="_Toc522710105" w:history="1">
        <w:r w:rsidR="00784524" w:rsidRPr="003020AE">
          <w:rPr>
            <w:rStyle w:val="Hyperlink"/>
            <w:noProof/>
            <w:lang w:val="bg-BG"/>
          </w:rPr>
          <w:t>1. Промени, свързани с разпространяването на статистически данни</w:t>
        </w:r>
        <w:r w:rsidR="00784524">
          <w:rPr>
            <w:noProof/>
            <w:webHidden/>
          </w:rPr>
          <w:tab/>
        </w:r>
        <w:r w:rsidR="00C149AD">
          <w:rPr>
            <w:noProof/>
            <w:webHidden/>
          </w:rPr>
          <w:fldChar w:fldCharType="begin"/>
        </w:r>
        <w:r w:rsidR="00784524">
          <w:rPr>
            <w:noProof/>
            <w:webHidden/>
          </w:rPr>
          <w:instrText xml:space="preserve"> PAGEREF _Toc522710105 \h </w:instrText>
        </w:r>
        <w:r w:rsidR="00C149AD">
          <w:rPr>
            <w:noProof/>
            <w:webHidden/>
          </w:rPr>
        </w:r>
        <w:r w:rsidR="00C149AD">
          <w:rPr>
            <w:noProof/>
            <w:webHidden/>
          </w:rPr>
          <w:fldChar w:fldCharType="separate"/>
        </w:r>
        <w:r w:rsidR="005C6359">
          <w:rPr>
            <w:noProof/>
            <w:webHidden/>
          </w:rPr>
          <w:t>7</w:t>
        </w:r>
        <w:r w:rsidR="00C149AD">
          <w:rPr>
            <w:noProof/>
            <w:webHidden/>
          </w:rPr>
          <w:fldChar w:fldCharType="end"/>
        </w:r>
      </w:hyperlink>
    </w:p>
    <w:p w:rsidR="00784524" w:rsidRDefault="003A0400">
      <w:pPr>
        <w:pStyle w:val="TOC3"/>
        <w:tabs>
          <w:tab w:val="right" w:leader="dot" w:pos="9062"/>
        </w:tabs>
        <w:rPr>
          <w:rFonts w:asciiTheme="minorHAnsi" w:eastAsiaTheme="minorEastAsia" w:hAnsiTheme="minorHAnsi" w:cstheme="minorBidi"/>
          <w:noProof/>
          <w:sz w:val="22"/>
        </w:rPr>
      </w:pPr>
      <w:hyperlink w:anchor="_Toc522710106" w:history="1">
        <w:r w:rsidR="00784524" w:rsidRPr="003020AE">
          <w:rPr>
            <w:rStyle w:val="Hyperlink"/>
            <w:noProof/>
            <w:lang w:val="bg-BG"/>
          </w:rPr>
          <w:t>1.1. Визуализация на SDMX кодовете в статистическата база данни</w:t>
        </w:r>
        <w:r w:rsidR="00784524">
          <w:rPr>
            <w:noProof/>
            <w:webHidden/>
          </w:rPr>
          <w:tab/>
        </w:r>
        <w:r w:rsidR="00C149AD">
          <w:rPr>
            <w:noProof/>
            <w:webHidden/>
          </w:rPr>
          <w:fldChar w:fldCharType="begin"/>
        </w:r>
        <w:r w:rsidR="00784524">
          <w:rPr>
            <w:noProof/>
            <w:webHidden/>
          </w:rPr>
          <w:instrText xml:space="preserve"> PAGEREF _Toc522710106 \h </w:instrText>
        </w:r>
        <w:r w:rsidR="00C149AD">
          <w:rPr>
            <w:noProof/>
            <w:webHidden/>
          </w:rPr>
        </w:r>
        <w:r w:rsidR="00C149AD">
          <w:rPr>
            <w:noProof/>
            <w:webHidden/>
          </w:rPr>
          <w:fldChar w:fldCharType="separate"/>
        </w:r>
        <w:r w:rsidR="005C6359">
          <w:rPr>
            <w:noProof/>
            <w:webHidden/>
          </w:rPr>
          <w:t>7</w:t>
        </w:r>
        <w:r w:rsidR="00C149AD">
          <w:rPr>
            <w:noProof/>
            <w:webHidden/>
          </w:rPr>
          <w:fldChar w:fldCharType="end"/>
        </w:r>
      </w:hyperlink>
    </w:p>
    <w:p w:rsidR="00784524" w:rsidRDefault="003A0400">
      <w:pPr>
        <w:pStyle w:val="TOC3"/>
        <w:tabs>
          <w:tab w:val="right" w:leader="dot" w:pos="9062"/>
        </w:tabs>
        <w:rPr>
          <w:rFonts w:asciiTheme="minorHAnsi" w:eastAsiaTheme="minorEastAsia" w:hAnsiTheme="minorHAnsi" w:cstheme="minorBidi"/>
          <w:noProof/>
          <w:sz w:val="22"/>
        </w:rPr>
      </w:pPr>
      <w:hyperlink w:anchor="_Toc522710107" w:history="1">
        <w:r w:rsidR="00784524" w:rsidRPr="003020AE">
          <w:rPr>
            <w:rStyle w:val="Hyperlink"/>
            <w:noProof/>
            <w:lang w:val="bg-BG"/>
          </w:rPr>
          <w:t>1.2. Премахване на скролирането при избора на сериите в статистическата база данни</w:t>
        </w:r>
        <w:r w:rsidR="00784524">
          <w:rPr>
            <w:noProof/>
            <w:webHidden/>
          </w:rPr>
          <w:tab/>
        </w:r>
        <w:r w:rsidR="00C149AD">
          <w:rPr>
            <w:noProof/>
            <w:webHidden/>
          </w:rPr>
          <w:fldChar w:fldCharType="begin"/>
        </w:r>
        <w:r w:rsidR="00784524">
          <w:rPr>
            <w:noProof/>
            <w:webHidden/>
          </w:rPr>
          <w:instrText xml:space="preserve"> PAGEREF _Toc522710107 \h </w:instrText>
        </w:r>
        <w:r w:rsidR="00C149AD">
          <w:rPr>
            <w:noProof/>
            <w:webHidden/>
          </w:rPr>
        </w:r>
        <w:r w:rsidR="00C149AD">
          <w:rPr>
            <w:noProof/>
            <w:webHidden/>
          </w:rPr>
          <w:fldChar w:fldCharType="separate"/>
        </w:r>
        <w:r w:rsidR="005C6359">
          <w:rPr>
            <w:noProof/>
            <w:webHidden/>
          </w:rPr>
          <w:t>8</w:t>
        </w:r>
        <w:r w:rsidR="00C149AD">
          <w:rPr>
            <w:noProof/>
            <w:webHidden/>
          </w:rPr>
          <w:fldChar w:fldCharType="end"/>
        </w:r>
      </w:hyperlink>
    </w:p>
    <w:p w:rsidR="00784524" w:rsidRDefault="003A0400">
      <w:pPr>
        <w:pStyle w:val="TOC3"/>
        <w:tabs>
          <w:tab w:val="right" w:leader="dot" w:pos="9062"/>
        </w:tabs>
        <w:rPr>
          <w:rFonts w:asciiTheme="minorHAnsi" w:eastAsiaTheme="minorEastAsia" w:hAnsiTheme="minorHAnsi" w:cstheme="minorBidi"/>
          <w:noProof/>
          <w:sz w:val="22"/>
        </w:rPr>
      </w:pPr>
      <w:hyperlink w:anchor="_Toc522710108" w:history="1">
        <w:r w:rsidR="00784524" w:rsidRPr="003020AE">
          <w:rPr>
            <w:rStyle w:val="Hyperlink"/>
            <w:noProof/>
            <w:lang w:val="bg-BG"/>
          </w:rPr>
          <w:t>1.3. Възможност да се показват в една предефинирана таблица данни от различни Key Families и DSI</w:t>
        </w:r>
        <w:r w:rsidR="00784524">
          <w:rPr>
            <w:noProof/>
            <w:webHidden/>
          </w:rPr>
          <w:tab/>
        </w:r>
        <w:r w:rsidR="00C149AD">
          <w:rPr>
            <w:noProof/>
            <w:webHidden/>
          </w:rPr>
          <w:fldChar w:fldCharType="begin"/>
        </w:r>
        <w:r w:rsidR="00784524">
          <w:rPr>
            <w:noProof/>
            <w:webHidden/>
          </w:rPr>
          <w:instrText xml:space="preserve"> PAGEREF _Toc522710108 \h </w:instrText>
        </w:r>
        <w:r w:rsidR="00C149AD">
          <w:rPr>
            <w:noProof/>
            <w:webHidden/>
          </w:rPr>
        </w:r>
        <w:r w:rsidR="00C149AD">
          <w:rPr>
            <w:noProof/>
            <w:webHidden/>
          </w:rPr>
          <w:fldChar w:fldCharType="separate"/>
        </w:r>
        <w:r w:rsidR="005C6359">
          <w:rPr>
            <w:noProof/>
            <w:webHidden/>
          </w:rPr>
          <w:t>8</w:t>
        </w:r>
        <w:r w:rsidR="00C149AD">
          <w:rPr>
            <w:noProof/>
            <w:webHidden/>
          </w:rPr>
          <w:fldChar w:fldCharType="end"/>
        </w:r>
      </w:hyperlink>
    </w:p>
    <w:p w:rsidR="00784524" w:rsidRDefault="003A0400">
      <w:pPr>
        <w:pStyle w:val="TOC3"/>
        <w:tabs>
          <w:tab w:val="right" w:leader="dot" w:pos="9062"/>
        </w:tabs>
        <w:rPr>
          <w:rFonts w:asciiTheme="minorHAnsi" w:eastAsiaTheme="minorEastAsia" w:hAnsiTheme="minorHAnsi" w:cstheme="minorBidi"/>
          <w:noProof/>
          <w:sz w:val="22"/>
        </w:rPr>
      </w:pPr>
      <w:hyperlink w:anchor="_Toc522710109" w:history="1">
        <w:r w:rsidR="00784524" w:rsidRPr="003020AE">
          <w:rPr>
            <w:rStyle w:val="Hyperlink"/>
            <w:noProof/>
            <w:lang w:val="bg-BG"/>
          </w:rPr>
          <w:t>1.4. Извличане на данните от предефинираните таблици в общ Excel файл.</w:t>
        </w:r>
        <w:r w:rsidR="00784524">
          <w:rPr>
            <w:noProof/>
            <w:webHidden/>
          </w:rPr>
          <w:tab/>
        </w:r>
        <w:r w:rsidR="00C149AD">
          <w:rPr>
            <w:noProof/>
            <w:webHidden/>
          </w:rPr>
          <w:fldChar w:fldCharType="begin"/>
        </w:r>
        <w:r w:rsidR="00784524">
          <w:rPr>
            <w:noProof/>
            <w:webHidden/>
          </w:rPr>
          <w:instrText xml:space="preserve"> PAGEREF _Toc522710109 \h </w:instrText>
        </w:r>
        <w:r w:rsidR="00C149AD">
          <w:rPr>
            <w:noProof/>
            <w:webHidden/>
          </w:rPr>
        </w:r>
        <w:r w:rsidR="00C149AD">
          <w:rPr>
            <w:noProof/>
            <w:webHidden/>
          </w:rPr>
          <w:fldChar w:fldCharType="separate"/>
        </w:r>
        <w:r w:rsidR="005C6359">
          <w:rPr>
            <w:noProof/>
            <w:webHidden/>
          </w:rPr>
          <w:t>8</w:t>
        </w:r>
        <w:r w:rsidR="00C149AD">
          <w:rPr>
            <w:noProof/>
            <w:webHidden/>
          </w:rPr>
          <w:fldChar w:fldCharType="end"/>
        </w:r>
      </w:hyperlink>
    </w:p>
    <w:p w:rsidR="00784524" w:rsidRDefault="003A0400">
      <w:pPr>
        <w:pStyle w:val="TOC3"/>
        <w:tabs>
          <w:tab w:val="right" w:leader="dot" w:pos="9062"/>
        </w:tabs>
        <w:rPr>
          <w:rFonts w:asciiTheme="minorHAnsi" w:eastAsiaTheme="minorEastAsia" w:hAnsiTheme="minorHAnsi" w:cstheme="minorBidi"/>
          <w:noProof/>
          <w:sz w:val="22"/>
        </w:rPr>
      </w:pPr>
      <w:hyperlink w:anchor="_Toc522710110" w:history="1">
        <w:r w:rsidR="00784524" w:rsidRPr="003020AE">
          <w:rPr>
            <w:rStyle w:val="Hyperlink"/>
            <w:noProof/>
            <w:lang w:val="bg-BG"/>
          </w:rPr>
          <w:t>1.5. Обобщени справки</w:t>
        </w:r>
        <w:r w:rsidR="00784524">
          <w:rPr>
            <w:noProof/>
            <w:webHidden/>
          </w:rPr>
          <w:tab/>
        </w:r>
        <w:r w:rsidR="00C149AD">
          <w:rPr>
            <w:noProof/>
            <w:webHidden/>
          </w:rPr>
          <w:fldChar w:fldCharType="begin"/>
        </w:r>
        <w:r w:rsidR="00784524">
          <w:rPr>
            <w:noProof/>
            <w:webHidden/>
          </w:rPr>
          <w:instrText xml:space="preserve"> PAGEREF _Toc522710110 \h </w:instrText>
        </w:r>
        <w:r w:rsidR="00C149AD">
          <w:rPr>
            <w:noProof/>
            <w:webHidden/>
          </w:rPr>
        </w:r>
        <w:r w:rsidR="00C149AD">
          <w:rPr>
            <w:noProof/>
            <w:webHidden/>
          </w:rPr>
          <w:fldChar w:fldCharType="separate"/>
        </w:r>
        <w:r w:rsidR="005C6359">
          <w:rPr>
            <w:noProof/>
            <w:webHidden/>
          </w:rPr>
          <w:t>8</w:t>
        </w:r>
        <w:r w:rsidR="00C149AD">
          <w:rPr>
            <w:noProof/>
            <w:webHidden/>
          </w:rPr>
          <w:fldChar w:fldCharType="end"/>
        </w:r>
      </w:hyperlink>
    </w:p>
    <w:p w:rsidR="00784524" w:rsidRDefault="003A0400">
      <w:pPr>
        <w:pStyle w:val="TOC2"/>
        <w:tabs>
          <w:tab w:val="right" w:leader="dot" w:pos="9062"/>
        </w:tabs>
        <w:rPr>
          <w:rFonts w:asciiTheme="minorHAnsi" w:eastAsiaTheme="minorEastAsia" w:hAnsiTheme="minorHAnsi" w:cstheme="minorBidi"/>
          <w:noProof/>
          <w:sz w:val="22"/>
        </w:rPr>
      </w:pPr>
      <w:hyperlink w:anchor="_Toc522710111" w:history="1">
        <w:r w:rsidR="00784524" w:rsidRPr="003020AE">
          <w:rPr>
            <w:rStyle w:val="Hyperlink"/>
            <w:noProof/>
            <w:lang w:val="bg-BG"/>
          </w:rPr>
          <w:t>2. Промени, свързани с оптимизиране на предоставянето на информация</w:t>
        </w:r>
        <w:r w:rsidR="00784524">
          <w:rPr>
            <w:noProof/>
            <w:webHidden/>
          </w:rPr>
          <w:tab/>
        </w:r>
        <w:r w:rsidR="00C149AD">
          <w:rPr>
            <w:noProof/>
            <w:webHidden/>
          </w:rPr>
          <w:fldChar w:fldCharType="begin"/>
        </w:r>
        <w:r w:rsidR="00784524">
          <w:rPr>
            <w:noProof/>
            <w:webHidden/>
          </w:rPr>
          <w:instrText xml:space="preserve"> PAGEREF _Toc522710111 \h </w:instrText>
        </w:r>
        <w:r w:rsidR="00C149AD">
          <w:rPr>
            <w:noProof/>
            <w:webHidden/>
          </w:rPr>
        </w:r>
        <w:r w:rsidR="00C149AD">
          <w:rPr>
            <w:noProof/>
            <w:webHidden/>
          </w:rPr>
          <w:fldChar w:fldCharType="separate"/>
        </w:r>
        <w:r w:rsidR="005C6359">
          <w:rPr>
            <w:noProof/>
            <w:webHidden/>
          </w:rPr>
          <w:t>8</w:t>
        </w:r>
        <w:r w:rsidR="00C149AD">
          <w:rPr>
            <w:noProof/>
            <w:webHidden/>
          </w:rPr>
          <w:fldChar w:fldCharType="end"/>
        </w:r>
      </w:hyperlink>
    </w:p>
    <w:p w:rsidR="00784524" w:rsidRDefault="003A0400">
      <w:pPr>
        <w:pStyle w:val="TOC3"/>
        <w:tabs>
          <w:tab w:val="right" w:leader="dot" w:pos="9062"/>
        </w:tabs>
        <w:rPr>
          <w:rFonts w:asciiTheme="minorHAnsi" w:eastAsiaTheme="minorEastAsia" w:hAnsiTheme="minorHAnsi" w:cstheme="minorBidi"/>
          <w:noProof/>
          <w:sz w:val="22"/>
        </w:rPr>
      </w:pPr>
      <w:hyperlink w:anchor="_Toc522710112" w:history="1">
        <w:r w:rsidR="00784524" w:rsidRPr="003020AE">
          <w:rPr>
            <w:rStyle w:val="Hyperlink"/>
            <w:noProof/>
            <w:lang w:val="bg-BG"/>
          </w:rPr>
          <w:t>2.1. Технически мерки за сигурността на данните</w:t>
        </w:r>
        <w:r w:rsidR="00784524">
          <w:rPr>
            <w:noProof/>
            <w:webHidden/>
          </w:rPr>
          <w:tab/>
        </w:r>
        <w:r w:rsidR="00C149AD">
          <w:rPr>
            <w:noProof/>
            <w:webHidden/>
          </w:rPr>
          <w:fldChar w:fldCharType="begin"/>
        </w:r>
        <w:r w:rsidR="00784524">
          <w:rPr>
            <w:noProof/>
            <w:webHidden/>
          </w:rPr>
          <w:instrText xml:space="preserve"> PAGEREF _Toc522710112 \h </w:instrText>
        </w:r>
        <w:r w:rsidR="00C149AD">
          <w:rPr>
            <w:noProof/>
            <w:webHidden/>
          </w:rPr>
        </w:r>
        <w:r w:rsidR="00C149AD">
          <w:rPr>
            <w:noProof/>
            <w:webHidden/>
          </w:rPr>
          <w:fldChar w:fldCharType="separate"/>
        </w:r>
        <w:r w:rsidR="005C6359">
          <w:rPr>
            <w:noProof/>
            <w:webHidden/>
          </w:rPr>
          <w:t>8</w:t>
        </w:r>
        <w:r w:rsidR="00C149AD">
          <w:rPr>
            <w:noProof/>
            <w:webHidden/>
          </w:rPr>
          <w:fldChar w:fldCharType="end"/>
        </w:r>
      </w:hyperlink>
    </w:p>
    <w:p w:rsidR="00784524" w:rsidRDefault="003A0400">
      <w:pPr>
        <w:pStyle w:val="TOC3"/>
        <w:tabs>
          <w:tab w:val="right" w:leader="dot" w:pos="9062"/>
        </w:tabs>
        <w:rPr>
          <w:rFonts w:asciiTheme="minorHAnsi" w:eastAsiaTheme="minorEastAsia" w:hAnsiTheme="minorHAnsi" w:cstheme="minorBidi"/>
          <w:noProof/>
          <w:sz w:val="22"/>
        </w:rPr>
      </w:pPr>
      <w:hyperlink w:anchor="_Toc522710113" w:history="1">
        <w:r w:rsidR="00784524" w:rsidRPr="003020AE">
          <w:rPr>
            <w:rStyle w:val="Hyperlink"/>
            <w:noProof/>
            <w:lang w:val="bg-BG"/>
          </w:rPr>
          <w:t>2.2. Създаване на интернет страница за съпоставяне на такси</w:t>
        </w:r>
        <w:r w:rsidR="00784524">
          <w:rPr>
            <w:noProof/>
            <w:webHidden/>
          </w:rPr>
          <w:tab/>
        </w:r>
        <w:r w:rsidR="00C149AD">
          <w:rPr>
            <w:noProof/>
            <w:webHidden/>
          </w:rPr>
          <w:fldChar w:fldCharType="begin"/>
        </w:r>
        <w:r w:rsidR="00784524">
          <w:rPr>
            <w:noProof/>
            <w:webHidden/>
          </w:rPr>
          <w:instrText xml:space="preserve"> PAGEREF _Toc522710113 \h </w:instrText>
        </w:r>
        <w:r w:rsidR="00C149AD">
          <w:rPr>
            <w:noProof/>
            <w:webHidden/>
          </w:rPr>
        </w:r>
        <w:r w:rsidR="00C149AD">
          <w:rPr>
            <w:noProof/>
            <w:webHidden/>
          </w:rPr>
          <w:fldChar w:fldCharType="separate"/>
        </w:r>
        <w:r w:rsidR="005C6359">
          <w:rPr>
            <w:noProof/>
            <w:webHidden/>
          </w:rPr>
          <w:t>9</w:t>
        </w:r>
        <w:r w:rsidR="00C149AD">
          <w:rPr>
            <w:noProof/>
            <w:webHidden/>
          </w:rPr>
          <w:fldChar w:fldCharType="end"/>
        </w:r>
      </w:hyperlink>
    </w:p>
    <w:p w:rsidR="00784524" w:rsidRDefault="003A0400">
      <w:pPr>
        <w:pStyle w:val="TOC3"/>
        <w:tabs>
          <w:tab w:val="right" w:leader="dot" w:pos="9062"/>
        </w:tabs>
        <w:rPr>
          <w:rFonts w:asciiTheme="minorHAnsi" w:eastAsiaTheme="minorEastAsia" w:hAnsiTheme="minorHAnsi" w:cstheme="minorBidi"/>
          <w:noProof/>
          <w:sz w:val="22"/>
        </w:rPr>
      </w:pPr>
      <w:hyperlink w:anchor="_Toc522710114" w:history="1">
        <w:r w:rsidR="00784524" w:rsidRPr="003020AE">
          <w:rPr>
            <w:rStyle w:val="Hyperlink"/>
            <w:noProof/>
            <w:lang w:val="bg-BG"/>
          </w:rPr>
          <w:t>Основание за проекта</w:t>
        </w:r>
        <w:r w:rsidR="00784524">
          <w:rPr>
            <w:noProof/>
            <w:webHidden/>
          </w:rPr>
          <w:tab/>
        </w:r>
        <w:r w:rsidR="00C149AD">
          <w:rPr>
            <w:noProof/>
            <w:webHidden/>
          </w:rPr>
          <w:fldChar w:fldCharType="begin"/>
        </w:r>
        <w:r w:rsidR="00784524">
          <w:rPr>
            <w:noProof/>
            <w:webHidden/>
          </w:rPr>
          <w:instrText xml:space="preserve"> PAGEREF _Toc522710114 \h </w:instrText>
        </w:r>
        <w:r w:rsidR="00C149AD">
          <w:rPr>
            <w:noProof/>
            <w:webHidden/>
          </w:rPr>
        </w:r>
        <w:r w:rsidR="00C149AD">
          <w:rPr>
            <w:noProof/>
            <w:webHidden/>
          </w:rPr>
          <w:fldChar w:fldCharType="separate"/>
        </w:r>
        <w:r w:rsidR="005C6359">
          <w:rPr>
            <w:noProof/>
            <w:webHidden/>
          </w:rPr>
          <w:t>9</w:t>
        </w:r>
        <w:r w:rsidR="00C149AD">
          <w:rPr>
            <w:noProof/>
            <w:webHidden/>
          </w:rPr>
          <w:fldChar w:fldCharType="end"/>
        </w:r>
      </w:hyperlink>
    </w:p>
    <w:p w:rsidR="00784524" w:rsidRDefault="003A0400">
      <w:pPr>
        <w:pStyle w:val="TOC3"/>
        <w:tabs>
          <w:tab w:val="right" w:leader="dot" w:pos="9062"/>
        </w:tabs>
        <w:rPr>
          <w:rFonts w:asciiTheme="minorHAnsi" w:eastAsiaTheme="minorEastAsia" w:hAnsiTheme="minorHAnsi" w:cstheme="minorBidi"/>
          <w:noProof/>
          <w:sz w:val="22"/>
        </w:rPr>
      </w:pPr>
      <w:hyperlink w:anchor="_Toc522710115" w:history="1">
        <w:r w:rsidR="00784524" w:rsidRPr="003020AE">
          <w:rPr>
            <w:rStyle w:val="Hyperlink"/>
            <w:noProof/>
            <w:lang w:val="bg-BG"/>
          </w:rPr>
          <w:t>Срок за създаване и пускане в експлоатация</w:t>
        </w:r>
        <w:r w:rsidR="00784524">
          <w:rPr>
            <w:noProof/>
            <w:webHidden/>
          </w:rPr>
          <w:tab/>
        </w:r>
        <w:r w:rsidR="00C149AD">
          <w:rPr>
            <w:noProof/>
            <w:webHidden/>
          </w:rPr>
          <w:fldChar w:fldCharType="begin"/>
        </w:r>
        <w:r w:rsidR="00784524">
          <w:rPr>
            <w:noProof/>
            <w:webHidden/>
          </w:rPr>
          <w:instrText xml:space="preserve"> PAGEREF _Toc522710115 \h </w:instrText>
        </w:r>
        <w:r w:rsidR="00C149AD">
          <w:rPr>
            <w:noProof/>
            <w:webHidden/>
          </w:rPr>
        </w:r>
        <w:r w:rsidR="00C149AD">
          <w:rPr>
            <w:noProof/>
            <w:webHidden/>
          </w:rPr>
          <w:fldChar w:fldCharType="separate"/>
        </w:r>
        <w:r w:rsidR="005C6359">
          <w:rPr>
            <w:noProof/>
            <w:webHidden/>
          </w:rPr>
          <w:t>9</w:t>
        </w:r>
        <w:r w:rsidR="00C149AD">
          <w:rPr>
            <w:noProof/>
            <w:webHidden/>
          </w:rPr>
          <w:fldChar w:fldCharType="end"/>
        </w:r>
      </w:hyperlink>
    </w:p>
    <w:p w:rsidR="00784524" w:rsidRDefault="003A0400">
      <w:pPr>
        <w:pStyle w:val="TOC3"/>
        <w:tabs>
          <w:tab w:val="right" w:leader="dot" w:pos="9062"/>
        </w:tabs>
        <w:rPr>
          <w:lang w:val="bg-BG"/>
        </w:rPr>
      </w:pPr>
      <w:hyperlink w:anchor="_Toc522710116" w:history="1">
        <w:r w:rsidR="000A068C" w:rsidRPr="003020AE">
          <w:rPr>
            <w:rStyle w:val="Hyperlink"/>
            <w:noProof/>
            <w:lang w:val="bg-BG"/>
          </w:rPr>
          <w:t>Отчетни единици и услуги</w:t>
        </w:r>
        <w:r w:rsidR="001C0DC0" w:rsidRPr="001C0DC0">
          <w:rPr>
            <w:rStyle w:val="Hyperlink"/>
            <w:noProof/>
            <w:webHidden/>
            <w:lang w:val="bg-BG"/>
          </w:rPr>
          <w:tab/>
        </w:r>
        <w:r w:rsidR="000A068C">
          <w:rPr>
            <w:noProof/>
            <w:webHidden/>
            <w:lang w:val="bg-BG"/>
          </w:rPr>
          <w:t>10</w:t>
        </w:r>
      </w:hyperlink>
    </w:p>
    <w:p w:rsidR="001C0DC0" w:rsidRDefault="003A0400">
      <w:pPr>
        <w:pStyle w:val="TOC3"/>
        <w:tabs>
          <w:tab w:val="right" w:leader="dot" w:pos="9062"/>
        </w:tabs>
        <w:rPr>
          <w:rFonts w:eastAsiaTheme="minorEastAsia"/>
          <w:lang w:val="bg-BG"/>
        </w:rPr>
      </w:pPr>
      <w:hyperlink w:anchor="_Toc522710117" w:history="1">
        <w:r w:rsidR="001C0DC0">
          <w:rPr>
            <w:rStyle w:val="Hyperlink"/>
            <w:noProof/>
            <w:lang w:val="bg-BG"/>
          </w:rPr>
          <w:t>Бизнес процес</w:t>
        </w:r>
        <w:r w:rsidR="001C0DC0">
          <w:rPr>
            <w:noProof/>
            <w:webHidden/>
          </w:rPr>
          <w:tab/>
        </w:r>
        <w:r w:rsidR="00C149AD">
          <w:rPr>
            <w:noProof/>
            <w:webHidden/>
          </w:rPr>
          <w:fldChar w:fldCharType="begin"/>
        </w:r>
        <w:r w:rsidR="001C0DC0">
          <w:rPr>
            <w:noProof/>
            <w:webHidden/>
          </w:rPr>
          <w:instrText xml:space="preserve"> PAGEREF _Toc522710117 \h </w:instrText>
        </w:r>
        <w:r w:rsidR="00C149AD">
          <w:rPr>
            <w:noProof/>
            <w:webHidden/>
          </w:rPr>
        </w:r>
        <w:r w:rsidR="00C149AD">
          <w:rPr>
            <w:noProof/>
            <w:webHidden/>
          </w:rPr>
          <w:fldChar w:fldCharType="separate"/>
        </w:r>
        <w:r w:rsidR="005C6359">
          <w:rPr>
            <w:noProof/>
            <w:webHidden/>
          </w:rPr>
          <w:t>10</w:t>
        </w:r>
        <w:r w:rsidR="00C149AD">
          <w:rPr>
            <w:noProof/>
            <w:webHidden/>
          </w:rPr>
          <w:fldChar w:fldCharType="end"/>
        </w:r>
      </w:hyperlink>
    </w:p>
    <w:p w:rsidR="00784524" w:rsidRDefault="003A0400">
      <w:pPr>
        <w:pStyle w:val="TOC3"/>
        <w:tabs>
          <w:tab w:val="right" w:leader="dot" w:pos="9062"/>
        </w:tabs>
        <w:rPr>
          <w:rFonts w:asciiTheme="minorHAnsi" w:eastAsiaTheme="minorEastAsia" w:hAnsiTheme="minorHAnsi" w:cstheme="minorBidi"/>
          <w:noProof/>
          <w:sz w:val="22"/>
        </w:rPr>
      </w:pPr>
      <w:hyperlink w:anchor="_Toc522710117" w:history="1">
        <w:r w:rsidR="001C0DC0" w:rsidRPr="003020AE">
          <w:rPr>
            <w:rStyle w:val="Hyperlink"/>
            <w:noProof/>
            <w:lang w:val="bg-BG"/>
          </w:rPr>
          <w:t>Характеристики</w:t>
        </w:r>
        <w:r w:rsidR="001C0DC0">
          <w:rPr>
            <w:noProof/>
            <w:webHidden/>
          </w:rPr>
          <w:tab/>
        </w:r>
        <w:r w:rsidR="00C149AD">
          <w:rPr>
            <w:noProof/>
            <w:webHidden/>
          </w:rPr>
          <w:fldChar w:fldCharType="begin"/>
        </w:r>
        <w:r w:rsidR="001C0DC0">
          <w:rPr>
            <w:noProof/>
            <w:webHidden/>
          </w:rPr>
          <w:instrText xml:space="preserve"> PAGEREF _Toc522710117 \h </w:instrText>
        </w:r>
        <w:r w:rsidR="00C149AD">
          <w:rPr>
            <w:noProof/>
            <w:webHidden/>
          </w:rPr>
        </w:r>
        <w:r w:rsidR="00C149AD">
          <w:rPr>
            <w:noProof/>
            <w:webHidden/>
          </w:rPr>
          <w:fldChar w:fldCharType="separate"/>
        </w:r>
        <w:r w:rsidR="005C6359">
          <w:rPr>
            <w:noProof/>
            <w:webHidden/>
          </w:rPr>
          <w:t>10</w:t>
        </w:r>
        <w:r w:rsidR="00C149AD">
          <w:rPr>
            <w:noProof/>
            <w:webHidden/>
          </w:rPr>
          <w:fldChar w:fldCharType="end"/>
        </w:r>
      </w:hyperlink>
    </w:p>
    <w:p w:rsidR="00994785" w:rsidRPr="00955E83" w:rsidRDefault="00C149AD">
      <w:pPr>
        <w:rPr>
          <w:lang w:val="bg-BG"/>
        </w:rPr>
      </w:pPr>
      <w:r w:rsidRPr="00955E83">
        <w:rPr>
          <w:lang w:val="bg-BG"/>
        </w:rPr>
        <w:fldChar w:fldCharType="end"/>
      </w:r>
    </w:p>
    <w:p w:rsidR="00994785" w:rsidRPr="00955E83" w:rsidRDefault="00994785">
      <w:pPr>
        <w:rPr>
          <w:lang w:val="bg-BG"/>
        </w:rPr>
      </w:pPr>
      <w:r w:rsidRPr="00955E83">
        <w:rPr>
          <w:lang w:val="bg-BG"/>
        </w:rPr>
        <w:br w:type="page"/>
      </w:r>
    </w:p>
    <w:p w:rsidR="00784524" w:rsidRDefault="00784524" w:rsidP="000B0D9C">
      <w:pPr>
        <w:pStyle w:val="Heading1"/>
        <w:numPr>
          <w:ilvl w:val="0"/>
          <w:numId w:val="17"/>
        </w:numPr>
      </w:pPr>
      <w:bookmarkStart w:id="0" w:name="_Toc522710098"/>
      <w:r w:rsidRPr="00784524">
        <w:rPr>
          <w:lang w:val="bg-BG"/>
        </w:rPr>
        <w:lastRenderedPageBreak/>
        <w:t>Описание на Интернет страницата на БНБ</w:t>
      </w:r>
      <w:bookmarkEnd w:id="0"/>
    </w:p>
    <w:p w:rsidR="00784524" w:rsidRPr="00784524" w:rsidRDefault="00784524" w:rsidP="00784524">
      <w:pPr>
        <w:widowControl w:val="0"/>
        <w:tabs>
          <w:tab w:val="left" w:pos="709"/>
          <w:tab w:val="left" w:pos="7088"/>
        </w:tabs>
        <w:autoSpaceDE w:val="0"/>
        <w:autoSpaceDN w:val="0"/>
        <w:adjustRightInd w:val="0"/>
        <w:spacing w:before="0" w:line="360" w:lineRule="auto"/>
        <w:rPr>
          <w:lang w:val="bg-BG"/>
        </w:rPr>
      </w:pPr>
      <w:r w:rsidRPr="00784524">
        <w:rPr>
          <w:lang w:val="bg-BG"/>
        </w:rPr>
        <w:t>Интернет страницата на БНБ представлява динамична система от софтуер, конфигурационни файлове и данни с функционалности за управление и за ползване на съдържането, която се състои от:</w:t>
      </w:r>
    </w:p>
    <w:p w:rsidR="00784524" w:rsidRPr="00784524" w:rsidRDefault="00784524" w:rsidP="00784524">
      <w:pPr>
        <w:widowControl w:val="0"/>
        <w:numPr>
          <w:ilvl w:val="0"/>
          <w:numId w:val="25"/>
        </w:numPr>
        <w:tabs>
          <w:tab w:val="left" w:pos="993"/>
        </w:tabs>
        <w:autoSpaceDE w:val="0"/>
        <w:autoSpaceDN w:val="0"/>
        <w:adjustRightInd w:val="0"/>
        <w:spacing w:before="0" w:line="360" w:lineRule="auto"/>
        <w:ind w:left="993" w:hanging="273"/>
        <w:rPr>
          <w:szCs w:val="24"/>
          <w:lang w:val="bg-BG"/>
        </w:rPr>
      </w:pPr>
      <w:r w:rsidRPr="00784524">
        <w:rPr>
          <w:b/>
          <w:u w:val="single"/>
          <w:lang w:val="bg-BG"/>
        </w:rPr>
        <w:t>Платформа за управление на съдържанието</w:t>
      </w:r>
      <w:r w:rsidRPr="00784524">
        <w:rPr>
          <w:lang w:val="bg-BG"/>
        </w:rPr>
        <w:t xml:space="preserve">, реализирана с продукта </w:t>
      </w:r>
      <w:r w:rsidRPr="00784524">
        <w:rPr>
          <w:szCs w:val="24"/>
          <w:lang w:val="bg-BG"/>
        </w:rPr>
        <w:t>Oracle Universal Content Management и със средството за разработване на страници Oracle Site Studio;</w:t>
      </w:r>
    </w:p>
    <w:p w:rsidR="00784524" w:rsidRPr="00784524" w:rsidRDefault="00784524" w:rsidP="00784524">
      <w:pPr>
        <w:widowControl w:val="0"/>
        <w:numPr>
          <w:ilvl w:val="0"/>
          <w:numId w:val="25"/>
        </w:numPr>
        <w:tabs>
          <w:tab w:val="left" w:pos="993"/>
        </w:tabs>
        <w:autoSpaceDE w:val="0"/>
        <w:autoSpaceDN w:val="0"/>
        <w:adjustRightInd w:val="0"/>
        <w:spacing w:before="0" w:line="360" w:lineRule="auto"/>
        <w:ind w:left="993" w:hanging="273"/>
        <w:rPr>
          <w:szCs w:val="24"/>
          <w:lang w:val="bg-BG"/>
        </w:rPr>
      </w:pPr>
      <w:r w:rsidRPr="00784524">
        <w:rPr>
          <w:b/>
          <w:szCs w:val="24"/>
          <w:u w:val="single"/>
          <w:lang w:val="bg-BG"/>
        </w:rPr>
        <w:t>Надстройки на системата за управление на съдържанието</w:t>
      </w:r>
      <w:r w:rsidRPr="00784524">
        <w:rPr>
          <w:lang w:val="bg-BG"/>
        </w:rPr>
        <w:t xml:space="preserve">, които са предназначени да реализират функции, които не са налични фабрично в </w:t>
      </w:r>
      <w:r w:rsidRPr="00784524">
        <w:rPr>
          <w:szCs w:val="24"/>
          <w:lang w:val="bg-BG"/>
        </w:rPr>
        <w:t>Oracle Universal Content Management;</w:t>
      </w:r>
    </w:p>
    <w:p w:rsidR="00784524" w:rsidRPr="00784524" w:rsidRDefault="00784524" w:rsidP="00784524">
      <w:pPr>
        <w:widowControl w:val="0"/>
        <w:numPr>
          <w:ilvl w:val="0"/>
          <w:numId w:val="25"/>
        </w:numPr>
        <w:tabs>
          <w:tab w:val="left" w:pos="993"/>
        </w:tabs>
        <w:autoSpaceDE w:val="0"/>
        <w:autoSpaceDN w:val="0"/>
        <w:adjustRightInd w:val="0"/>
        <w:spacing w:before="0" w:line="360" w:lineRule="auto"/>
        <w:ind w:left="993" w:hanging="273"/>
        <w:rPr>
          <w:lang w:val="bg-BG"/>
        </w:rPr>
      </w:pPr>
      <w:r w:rsidRPr="00784524">
        <w:rPr>
          <w:b/>
          <w:u w:val="single"/>
          <w:lang w:val="bg-BG"/>
        </w:rPr>
        <w:t>Структурирано хранилище на документи</w:t>
      </w:r>
      <w:r w:rsidRPr="00784524">
        <w:rPr>
          <w:lang w:val="bg-BG"/>
        </w:rPr>
        <w:t xml:space="preserve"> към системата за управление на съдържанието. </w:t>
      </w:r>
    </w:p>
    <w:p w:rsidR="00784524" w:rsidRPr="00784524" w:rsidRDefault="00784524" w:rsidP="00784524">
      <w:pPr>
        <w:widowControl w:val="0"/>
        <w:numPr>
          <w:ilvl w:val="0"/>
          <w:numId w:val="25"/>
        </w:numPr>
        <w:tabs>
          <w:tab w:val="left" w:pos="993"/>
        </w:tabs>
        <w:autoSpaceDE w:val="0"/>
        <w:autoSpaceDN w:val="0"/>
        <w:adjustRightInd w:val="0"/>
        <w:spacing w:before="0" w:line="360" w:lineRule="auto"/>
        <w:ind w:left="993" w:hanging="273"/>
        <w:rPr>
          <w:lang w:val="bg-BG"/>
        </w:rPr>
      </w:pPr>
      <w:r w:rsidRPr="00784524">
        <w:rPr>
          <w:lang w:val="bg-BG"/>
        </w:rPr>
        <w:t xml:space="preserve">Процесът на управление на съдържанието е обезпечен със следните </w:t>
      </w:r>
      <w:r w:rsidRPr="00784524">
        <w:rPr>
          <w:b/>
          <w:u w:val="single"/>
          <w:lang w:val="bg-BG"/>
        </w:rPr>
        <w:t>допълнителни елементи</w:t>
      </w:r>
      <w:r w:rsidRPr="00784524">
        <w:rPr>
          <w:lang w:val="bg-BG"/>
        </w:rPr>
        <w:t>:</w:t>
      </w:r>
    </w:p>
    <w:p w:rsidR="00784524" w:rsidRPr="00784524" w:rsidRDefault="00784524" w:rsidP="00784524">
      <w:pPr>
        <w:widowControl w:val="0"/>
        <w:numPr>
          <w:ilvl w:val="0"/>
          <w:numId w:val="26"/>
        </w:numPr>
        <w:tabs>
          <w:tab w:val="left" w:pos="1276"/>
          <w:tab w:val="left" w:pos="7088"/>
        </w:tabs>
        <w:autoSpaceDE w:val="0"/>
        <w:autoSpaceDN w:val="0"/>
        <w:adjustRightInd w:val="0"/>
        <w:spacing w:before="0" w:line="360" w:lineRule="auto"/>
        <w:ind w:left="1276" w:hanging="283"/>
        <w:rPr>
          <w:lang w:val="bg-BG"/>
        </w:rPr>
      </w:pPr>
      <w:r w:rsidRPr="00784524">
        <w:rPr>
          <w:b/>
          <w:lang w:val="bg-BG"/>
        </w:rPr>
        <w:t>Интеграционен модул</w:t>
      </w:r>
      <w:r w:rsidRPr="00784524">
        <w:rPr>
          <w:lang w:val="bg-BG"/>
        </w:rPr>
        <w:t>, който прехвърля текущите документи и данни в хранилището на системата;</w:t>
      </w:r>
    </w:p>
    <w:p w:rsidR="00784524" w:rsidRPr="00784524" w:rsidRDefault="00784524" w:rsidP="00784524">
      <w:pPr>
        <w:widowControl w:val="0"/>
        <w:numPr>
          <w:ilvl w:val="0"/>
          <w:numId w:val="26"/>
        </w:numPr>
        <w:tabs>
          <w:tab w:val="left" w:pos="1276"/>
          <w:tab w:val="left" w:pos="7088"/>
        </w:tabs>
        <w:autoSpaceDE w:val="0"/>
        <w:autoSpaceDN w:val="0"/>
        <w:adjustRightInd w:val="0"/>
        <w:spacing w:before="0" w:line="360" w:lineRule="auto"/>
        <w:ind w:left="1276" w:hanging="283"/>
        <w:rPr>
          <w:lang w:val="bg-BG"/>
        </w:rPr>
      </w:pPr>
      <w:r w:rsidRPr="00784524">
        <w:rPr>
          <w:lang w:val="bg-BG"/>
        </w:rPr>
        <w:t xml:space="preserve">Дефинирани </w:t>
      </w:r>
      <w:r w:rsidRPr="00784524">
        <w:rPr>
          <w:b/>
          <w:lang w:val="bg-BG"/>
        </w:rPr>
        <w:t>работни процеси</w:t>
      </w:r>
      <w:r w:rsidRPr="00784524">
        <w:rPr>
          <w:lang w:val="bg-BG"/>
        </w:rPr>
        <w:t xml:space="preserve"> за управление на документи;</w:t>
      </w:r>
    </w:p>
    <w:p w:rsidR="00784524" w:rsidRPr="00784524" w:rsidRDefault="00784524" w:rsidP="00784524">
      <w:pPr>
        <w:widowControl w:val="0"/>
        <w:numPr>
          <w:ilvl w:val="0"/>
          <w:numId w:val="26"/>
        </w:numPr>
        <w:tabs>
          <w:tab w:val="left" w:pos="1276"/>
          <w:tab w:val="left" w:pos="7088"/>
        </w:tabs>
        <w:autoSpaceDE w:val="0"/>
        <w:autoSpaceDN w:val="0"/>
        <w:adjustRightInd w:val="0"/>
        <w:spacing w:before="0" w:line="360" w:lineRule="auto"/>
        <w:ind w:left="1276" w:hanging="283"/>
        <w:rPr>
          <w:lang w:val="bg-BG"/>
        </w:rPr>
      </w:pPr>
      <w:r w:rsidRPr="00784524">
        <w:rPr>
          <w:lang w:val="bg-BG"/>
        </w:rPr>
        <w:t xml:space="preserve">Механизъм за </w:t>
      </w:r>
      <w:r w:rsidRPr="00784524">
        <w:rPr>
          <w:b/>
          <w:lang w:val="bg-BG"/>
        </w:rPr>
        <w:t>регистриране и публикуване на документи</w:t>
      </w:r>
      <w:r w:rsidRPr="00784524">
        <w:rPr>
          <w:lang w:val="bg-BG"/>
        </w:rPr>
        <w:t>;</w:t>
      </w:r>
    </w:p>
    <w:p w:rsidR="00784524" w:rsidRPr="00784524" w:rsidRDefault="00784524" w:rsidP="00784524">
      <w:pPr>
        <w:widowControl w:val="0"/>
        <w:numPr>
          <w:ilvl w:val="0"/>
          <w:numId w:val="26"/>
        </w:numPr>
        <w:tabs>
          <w:tab w:val="left" w:pos="1276"/>
          <w:tab w:val="left" w:pos="7088"/>
        </w:tabs>
        <w:autoSpaceDE w:val="0"/>
        <w:autoSpaceDN w:val="0"/>
        <w:adjustRightInd w:val="0"/>
        <w:spacing w:before="0" w:line="360" w:lineRule="auto"/>
        <w:ind w:left="1276" w:hanging="283"/>
        <w:rPr>
          <w:lang w:val="bg-BG"/>
        </w:rPr>
      </w:pPr>
      <w:r w:rsidRPr="00784524">
        <w:rPr>
          <w:b/>
          <w:lang w:val="bg-BG"/>
        </w:rPr>
        <w:t>Шаблони за визуализация на съдържанието в интернет</w:t>
      </w:r>
      <w:r w:rsidRPr="00784524">
        <w:rPr>
          <w:lang w:val="bg-BG"/>
        </w:rPr>
        <w:t>, съобразени с дизайна на съответната част от страницата;</w:t>
      </w:r>
    </w:p>
    <w:p w:rsidR="00784524" w:rsidRPr="00784524" w:rsidRDefault="00784524" w:rsidP="00784524">
      <w:pPr>
        <w:widowControl w:val="0"/>
        <w:numPr>
          <w:ilvl w:val="0"/>
          <w:numId w:val="25"/>
        </w:numPr>
        <w:tabs>
          <w:tab w:val="left" w:pos="993"/>
        </w:tabs>
        <w:autoSpaceDE w:val="0"/>
        <w:autoSpaceDN w:val="0"/>
        <w:adjustRightInd w:val="0"/>
        <w:spacing w:before="0" w:line="360" w:lineRule="auto"/>
        <w:ind w:left="993" w:hanging="273"/>
        <w:rPr>
          <w:lang w:val="bg-BG"/>
        </w:rPr>
      </w:pPr>
      <w:r w:rsidRPr="00784524">
        <w:rPr>
          <w:b/>
          <w:u w:val="single"/>
          <w:lang w:val="bg-BG"/>
        </w:rPr>
        <w:t>Система за сигурност</w:t>
      </w:r>
      <w:r w:rsidRPr="00784524">
        <w:rPr>
          <w:lang w:val="bg-BG"/>
        </w:rPr>
        <w:t xml:space="preserve"> - Oracle Information Rights Management, позволяваща контролиран достъп до управлението на съдържанието;</w:t>
      </w:r>
    </w:p>
    <w:p w:rsidR="00784524" w:rsidRPr="00784524" w:rsidRDefault="00784524" w:rsidP="00784524">
      <w:pPr>
        <w:widowControl w:val="0"/>
        <w:numPr>
          <w:ilvl w:val="0"/>
          <w:numId w:val="25"/>
        </w:numPr>
        <w:tabs>
          <w:tab w:val="left" w:pos="993"/>
        </w:tabs>
        <w:autoSpaceDE w:val="0"/>
        <w:autoSpaceDN w:val="0"/>
        <w:adjustRightInd w:val="0"/>
        <w:spacing w:before="0" w:line="360" w:lineRule="auto"/>
        <w:ind w:left="993" w:hanging="273"/>
        <w:rPr>
          <w:lang w:val="bg-BG"/>
        </w:rPr>
      </w:pPr>
      <w:r w:rsidRPr="00784524">
        <w:rPr>
          <w:lang w:val="bg-BG"/>
        </w:rPr>
        <w:t xml:space="preserve">Визуално представяне на елементите на съдържанието чрез </w:t>
      </w:r>
      <w:r w:rsidRPr="00784524">
        <w:rPr>
          <w:b/>
          <w:u w:val="single"/>
          <w:lang w:val="bg-BG"/>
        </w:rPr>
        <w:t>Cascading Style Sheets</w:t>
      </w:r>
      <w:r w:rsidRPr="00784524">
        <w:rPr>
          <w:lang w:val="bg-BG"/>
        </w:rPr>
        <w:t xml:space="preserve"> (CSS);</w:t>
      </w:r>
    </w:p>
    <w:p w:rsidR="00784524" w:rsidRPr="00784524" w:rsidRDefault="00784524" w:rsidP="00784524">
      <w:pPr>
        <w:widowControl w:val="0"/>
        <w:numPr>
          <w:ilvl w:val="0"/>
          <w:numId w:val="25"/>
        </w:numPr>
        <w:tabs>
          <w:tab w:val="left" w:pos="993"/>
        </w:tabs>
        <w:autoSpaceDE w:val="0"/>
        <w:autoSpaceDN w:val="0"/>
        <w:adjustRightInd w:val="0"/>
        <w:spacing w:before="0" w:line="360" w:lineRule="auto"/>
        <w:ind w:left="993" w:hanging="273"/>
        <w:rPr>
          <w:lang w:val="bg-BG"/>
        </w:rPr>
      </w:pPr>
      <w:r w:rsidRPr="00784524">
        <w:rPr>
          <w:b/>
          <w:u w:val="single"/>
          <w:lang w:val="bg-BG"/>
        </w:rPr>
        <w:t>База данни</w:t>
      </w:r>
      <w:r w:rsidRPr="00784524">
        <w:rPr>
          <w:lang w:val="bg-BG"/>
        </w:rPr>
        <w:t xml:space="preserve"> и система за обработка и визуализация на данни, които постъпват в структуриран вид съответно </w:t>
      </w:r>
      <w:r w:rsidRPr="00784524">
        <w:rPr>
          <w:b/>
          <w:u w:val="single"/>
          <w:lang w:val="bg-BG"/>
        </w:rPr>
        <w:t xml:space="preserve">за данни SDMX формат и .xls </w:t>
      </w:r>
      <w:r w:rsidRPr="00784524">
        <w:rPr>
          <w:lang w:val="bg-BG"/>
        </w:rPr>
        <w:t>за данни във файлове с фиксирана структура, с възможности за търсене, филтриране и изтегляне на информация в специализирани формати.</w:t>
      </w:r>
    </w:p>
    <w:p w:rsidR="00784524" w:rsidRPr="00784524" w:rsidRDefault="00784524" w:rsidP="00784524">
      <w:pPr>
        <w:widowControl w:val="0"/>
        <w:numPr>
          <w:ilvl w:val="0"/>
          <w:numId w:val="25"/>
        </w:numPr>
        <w:tabs>
          <w:tab w:val="left" w:pos="993"/>
        </w:tabs>
        <w:autoSpaceDE w:val="0"/>
        <w:autoSpaceDN w:val="0"/>
        <w:adjustRightInd w:val="0"/>
        <w:spacing w:before="0" w:line="360" w:lineRule="auto"/>
        <w:ind w:left="993" w:hanging="273"/>
        <w:rPr>
          <w:lang w:val="bg-BG"/>
        </w:rPr>
      </w:pPr>
      <w:r w:rsidRPr="00784524">
        <w:rPr>
          <w:lang w:val="bg-BG"/>
        </w:rPr>
        <w:t xml:space="preserve">Допълнителни функционалности: </w:t>
      </w:r>
      <w:r w:rsidRPr="00784524">
        <w:rPr>
          <w:b/>
          <w:u w:val="single"/>
          <w:lang w:val="bg-BG"/>
        </w:rPr>
        <w:t>RSS, опростен изглед на страницата за хора с увреждания, статистика за посещаемост на страницата, анкети и форми за предоставяне на информация от потребителите</w:t>
      </w:r>
      <w:r w:rsidRPr="00784524">
        <w:rPr>
          <w:lang w:val="bg-BG"/>
        </w:rPr>
        <w:t>.</w:t>
      </w:r>
    </w:p>
    <w:p w:rsidR="00784524" w:rsidRPr="00784524" w:rsidRDefault="009F06FC" w:rsidP="00784524">
      <w:pPr>
        <w:rPr>
          <w:b/>
          <w:lang w:val="bg-BG"/>
        </w:rPr>
      </w:pPr>
      <w:r>
        <w:rPr>
          <w:rFonts w:ascii="SP UniversusML Cond Light" w:hAnsi="SP UniversusML Cond Light" w:cs="Arial"/>
          <w:noProof/>
          <w:lang w:val="bg-BG" w:eastAsia="bg-BG"/>
        </w:rPr>
        <w:lastRenderedPageBreak/>
        <w:drawing>
          <wp:anchor distT="0" distB="0" distL="114300" distR="114300" simplePos="0" relativeHeight="251659264" behindDoc="0" locked="0" layoutInCell="1" allowOverlap="1">
            <wp:simplePos x="0" y="0"/>
            <wp:positionH relativeFrom="column">
              <wp:posOffset>295910</wp:posOffset>
            </wp:positionH>
            <wp:positionV relativeFrom="paragraph">
              <wp:posOffset>334645</wp:posOffset>
            </wp:positionV>
            <wp:extent cx="5749925" cy="7916545"/>
            <wp:effectExtent l="0" t="0" r="0" b="8255"/>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49925" cy="7916545"/>
                    </a:xfrm>
                    <a:prstGeom prst="rect">
                      <a:avLst/>
                    </a:prstGeom>
                    <a:noFill/>
                  </pic:spPr>
                </pic:pic>
              </a:graphicData>
            </a:graphic>
            <wp14:sizeRelH relativeFrom="page">
              <wp14:pctWidth>0</wp14:pctWidth>
            </wp14:sizeRelH>
            <wp14:sizeRelV relativeFrom="page">
              <wp14:pctHeight>0</wp14:pctHeight>
            </wp14:sizeRelV>
          </wp:anchor>
        </w:drawing>
      </w:r>
      <w:r w:rsidR="00784524" w:rsidRPr="00784524">
        <w:rPr>
          <w:b/>
          <w:lang w:val="bg-BG"/>
        </w:rPr>
        <w:t>ЕЛЕМЕНТИ В КОНЦЕПТУАЛНАТА СХЕМА НА СТРАНИЦАТА</w:t>
      </w:r>
    </w:p>
    <w:p w:rsidR="00784524" w:rsidRPr="00784524" w:rsidRDefault="00784524" w:rsidP="00784524">
      <w:pPr>
        <w:numPr>
          <w:ilvl w:val="0"/>
          <w:numId w:val="27"/>
        </w:numPr>
        <w:spacing w:line="240" w:lineRule="auto"/>
        <w:rPr>
          <w:lang w:val="bg-BG"/>
        </w:rPr>
      </w:pPr>
      <w:r w:rsidRPr="00784524">
        <w:rPr>
          <w:lang w:val="bg-BG"/>
        </w:rPr>
        <w:t xml:space="preserve">Мрежите, в които работи страницата на БНБ са три – публичната – </w:t>
      </w:r>
      <w:r w:rsidRPr="00784524">
        <w:rPr>
          <w:b/>
          <w:lang w:val="bg-BG"/>
        </w:rPr>
        <w:t>интернет</w:t>
      </w:r>
      <w:r w:rsidRPr="00784524">
        <w:rPr>
          <w:lang w:val="bg-BG"/>
        </w:rPr>
        <w:t xml:space="preserve">, и частните – </w:t>
      </w:r>
      <w:r w:rsidRPr="00784524">
        <w:rPr>
          <w:b/>
          <w:lang w:val="bg-BG"/>
        </w:rPr>
        <w:t>демилитаризирана зона</w:t>
      </w:r>
      <w:r w:rsidRPr="00784524">
        <w:rPr>
          <w:lang w:val="bg-BG"/>
        </w:rPr>
        <w:t xml:space="preserve"> (DMZ) и </w:t>
      </w:r>
      <w:r w:rsidRPr="00784524">
        <w:rPr>
          <w:b/>
          <w:lang w:val="bg-BG"/>
        </w:rPr>
        <w:t xml:space="preserve">локална </w:t>
      </w:r>
      <w:r w:rsidRPr="00784524">
        <w:rPr>
          <w:b/>
          <w:lang w:val="bg-BG"/>
        </w:rPr>
        <w:lastRenderedPageBreak/>
        <w:t>мрежа</w:t>
      </w:r>
      <w:r w:rsidRPr="00784524">
        <w:rPr>
          <w:lang w:val="bg-BG"/>
        </w:rPr>
        <w:t>. Демилитаризираната зона е защитена от всички страни със защитни стени.</w:t>
      </w:r>
    </w:p>
    <w:p w:rsidR="00784524" w:rsidRPr="00784524" w:rsidRDefault="00784524" w:rsidP="00784524">
      <w:pPr>
        <w:numPr>
          <w:ilvl w:val="0"/>
          <w:numId w:val="27"/>
        </w:numPr>
        <w:spacing w:line="240" w:lineRule="auto"/>
        <w:rPr>
          <w:lang w:val="bg-BG"/>
        </w:rPr>
      </w:pPr>
      <w:r w:rsidRPr="00784524">
        <w:rPr>
          <w:b/>
          <w:lang w:val="bg-BG"/>
        </w:rPr>
        <w:t>Клъстер на страницата на БНБ в интернет</w:t>
      </w:r>
      <w:r w:rsidRPr="00784524">
        <w:rPr>
          <w:lang w:val="bg-BG"/>
        </w:rPr>
        <w:t xml:space="preserve"> – е комплект от два клъстера, реализирани с технологията Oracle Real Application Cluster. В инфраструктурата на клъстера участва и споделено пространство, разположено на споделен дял в мрежата за данни (SAN) под управлението на Tivoli Storage Network Manager (TSM);</w:t>
      </w:r>
    </w:p>
    <w:p w:rsidR="00784524" w:rsidRPr="00784524" w:rsidRDefault="00784524" w:rsidP="00784524">
      <w:pPr>
        <w:numPr>
          <w:ilvl w:val="0"/>
          <w:numId w:val="27"/>
        </w:numPr>
        <w:spacing w:line="240" w:lineRule="auto"/>
        <w:rPr>
          <w:lang w:val="bg-BG"/>
        </w:rPr>
      </w:pPr>
      <w:r w:rsidRPr="00784524">
        <w:rPr>
          <w:b/>
          <w:lang w:val="bg-BG"/>
        </w:rPr>
        <w:t xml:space="preserve">Производствен възел 1 и Производствен възел 2 – </w:t>
      </w:r>
      <w:r w:rsidRPr="00784524">
        <w:rPr>
          <w:lang w:val="bg-BG"/>
        </w:rPr>
        <w:t>това са основната двойка сървъри, изпълняващи функцията на производствена среда на страницата на БНБ в интернет;</w:t>
      </w:r>
    </w:p>
    <w:p w:rsidR="00784524" w:rsidRPr="00784524" w:rsidRDefault="00784524" w:rsidP="00784524">
      <w:pPr>
        <w:numPr>
          <w:ilvl w:val="0"/>
          <w:numId w:val="27"/>
        </w:numPr>
        <w:spacing w:line="240" w:lineRule="auto"/>
        <w:rPr>
          <w:lang w:val="bg-BG"/>
        </w:rPr>
      </w:pPr>
      <w:r w:rsidRPr="00784524">
        <w:rPr>
          <w:b/>
          <w:lang w:val="bg-BG"/>
        </w:rPr>
        <w:t xml:space="preserve">Тестови възел 1 и Тестови възел 2 – </w:t>
      </w:r>
      <w:r w:rsidRPr="00784524">
        <w:rPr>
          <w:lang w:val="bg-BG"/>
        </w:rPr>
        <w:t>това са допълнителна двойка сървъри, изпълняващи функцията на тестова среда на страницата на БНБ в интернет;</w:t>
      </w:r>
    </w:p>
    <w:p w:rsidR="00784524" w:rsidRPr="00784524" w:rsidRDefault="00784524" w:rsidP="00784524">
      <w:pPr>
        <w:numPr>
          <w:ilvl w:val="0"/>
          <w:numId w:val="27"/>
        </w:numPr>
        <w:spacing w:line="240" w:lineRule="auto"/>
        <w:rPr>
          <w:lang w:val="bg-BG"/>
        </w:rPr>
      </w:pPr>
      <w:r w:rsidRPr="00784524">
        <w:rPr>
          <w:b/>
          <w:lang w:val="bg-BG"/>
        </w:rPr>
        <w:t xml:space="preserve">Стар сървър за непрехвърлена статистика </w:t>
      </w:r>
      <w:r w:rsidRPr="00784524">
        <w:rPr>
          <w:lang w:val="bg-BG"/>
        </w:rPr>
        <w:t>– сървър под управлението на Lotus Domino, който съдържа данни от раздел статистика, които все още не са прехвърлени в статистическата база данни по стандарта SDMX;</w:t>
      </w:r>
    </w:p>
    <w:p w:rsidR="00784524" w:rsidRPr="00784524" w:rsidRDefault="00784524" w:rsidP="00784524">
      <w:pPr>
        <w:numPr>
          <w:ilvl w:val="0"/>
          <w:numId w:val="27"/>
        </w:numPr>
        <w:spacing w:line="240" w:lineRule="auto"/>
        <w:rPr>
          <w:lang w:val="bg-BG"/>
        </w:rPr>
      </w:pPr>
      <w:r w:rsidRPr="00784524">
        <w:rPr>
          <w:b/>
          <w:lang w:val="bg-BG"/>
        </w:rPr>
        <w:t xml:space="preserve">Администрацията на страницата </w:t>
      </w:r>
      <w:r w:rsidRPr="00784524">
        <w:rPr>
          <w:lang w:val="bg-BG"/>
        </w:rPr>
        <w:t>– става от екип администратори, които с уеб-базиран интерфейс и набор от java аплети достъпват специална административна част от страницата и извършват действия, свързани с управлението на съдържанието, достъпа и работните процеси. Системната администрация се извършва от екип системни администратори, които имат грижа за всички компоненти извън системата за управление на съдържанието – операционна система, бази данни, наблюдение, архивиране, услуги по пренос на съобщения;</w:t>
      </w:r>
    </w:p>
    <w:p w:rsidR="00784524" w:rsidRPr="00784524" w:rsidRDefault="00784524" w:rsidP="00784524">
      <w:pPr>
        <w:numPr>
          <w:ilvl w:val="0"/>
          <w:numId w:val="27"/>
        </w:numPr>
        <w:spacing w:line="240" w:lineRule="auto"/>
        <w:rPr>
          <w:lang w:val="bg-BG"/>
        </w:rPr>
      </w:pPr>
      <w:r w:rsidRPr="00784524">
        <w:rPr>
          <w:b/>
          <w:lang w:val="bg-BG"/>
        </w:rPr>
        <w:t xml:space="preserve">Модул за интеграция – </w:t>
      </w:r>
      <w:r w:rsidRPr="00784524">
        <w:rPr>
          <w:lang w:val="bg-BG"/>
        </w:rPr>
        <w:t>това e специализиран приложен сървър, реализиран с помощта на специално създадена система на езика java, който следи за получени данни за публикуване, преобразува ги в подходящ формат и ги зарежда в страницата в режим за преглед и одобряване.</w:t>
      </w:r>
    </w:p>
    <w:p w:rsidR="007B7A38" w:rsidRPr="00955E83" w:rsidRDefault="007B7A38" w:rsidP="000B0D9C">
      <w:pPr>
        <w:pStyle w:val="Heading1"/>
        <w:numPr>
          <w:ilvl w:val="0"/>
          <w:numId w:val="17"/>
        </w:numPr>
        <w:rPr>
          <w:lang w:val="bg-BG"/>
        </w:rPr>
      </w:pPr>
      <w:bookmarkStart w:id="1" w:name="_Toc522710099"/>
      <w:r w:rsidRPr="00955E83">
        <w:rPr>
          <w:lang w:val="bg-BG"/>
        </w:rPr>
        <w:t xml:space="preserve">Дейности по </w:t>
      </w:r>
      <w:r w:rsidR="00642329" w:rsidRPr="00955E83">
        <w:rPr>
          <w:lang w:val="bg-BG"/>
        </w:rPr>
        <w:t>извънгаранционна поддръжка</w:t>
      </w:r>
      <w:r w:rsidR="000B0D9C">
        <w:rPr>
          <w:lang w:val="bg-BG"/>
        </w:rPr>
        <w:t xml:space="preserve"> (</w:t>
      </w:r>
      <w:r w:rsidR="000B0D9C" w:rsidRPr="000B0D9C">
        <w:rPr>
          <w:lang w:val="bg-BG"/>
        </w:rPr>
        <w:t>абонаментно обслужване</w:t>
      </w:r>
      <w:r w:rsidR="000B0D9C">
        <w:rPr>
          <w:lang w:val="bg-BG"/>
        </w:rPr>
        <w:t>)</w:t>
      </w:r>
      <w:r w:rsidR="00B602FF">
        <w:t>.</w:t>
      </w:r>
      <w:bookmarkEnd w:id="1"/>
    </w:p>
    <w:p w:rsidR="003720C8" w:rsidRPr="00955E83" w:rsidRDefault="00B7649C" w:rsidP="00B7649C">
      <w:pPr>
        <w:pStyle w:val="Heading2"/>
        <w:numPr>
          <w:ilvl w:val="1"/>
          <w:numId w:val="17"/>
        </w:numPr>
        <w:rPr>
          <w:lang w:val="bg-BG"/>
        </w:rPr>
      </w:pPr>
      <w:bookmarkStart w:id="2" w:name="_Toc522710100"/>
      <w:r w:rsidRPr="00955E83">
        <w:rPr>
          <w:lang w:val="bg-BG"/>
        </w:rPr>
        <w:t>Списък на дейностите</w:t>
      </w:r>
      <w:bookmarkEnd w:id="2"/>
    </w:p>
    <w:p w:rsidR="00766058" w:rsidRPr="00955E83" w:rsidRDefault="003720C8" w:rsidP="00404689">
      <w:pPr>
        <w:widowControl w:val="0"/>
        <w:numPr>
          <w:ilvl w:val="0"/>
          <w:numId w:val="23"/>
        </w:numPr>
        <w:tabs>
          <w:tab w:val="left" w:pos="426"/>
        </w:tabs>
        <w:autoSpaceDE w:val="0"/>
        <w:autoSpaceDN w:val="0"/>
        <w:adjustRightInd w:val="0"/>
        <w:spacing w:line="360" w:lineRule="auto"/>
        <w:rPr>
          <w:lang w:val="bg-BG"/>
        </w:rPr>
      </w:pPr>
      <w:r w:rsidRPr="00955E83">
        <w:rPr>
          <w:lang w:val="bg-BG"/>
        </w:rPr>
        <w:t>Инсталация</w:t>
      </w:r>
      <w:r w:rsidR="00766058" w:rsidRPr="00955E83">
        <w:rPr>
          <w:lang w:val="bg-BG"/>
        </w:rPr>
        <w:t>, актуализация и настройка на компонентите на интернет страницата на БНБ и прилежащата софтуерна среда;</w:t>
      </w:r>
    </w:p>
    <w:p w:rsidR="00766058" w:rsidRPr="00955E83" w:rsidRDefault="003720C8" w:rsidP="00404689">
      <w:pPr>
        <w:widowControl w:val="0"/>
        <w:numPr>
          <w:ilvl w:val="0"/>
          <w:numId w:val="23"/>
        </w:numPr>
        <w:tabs>
          <w:tab w:val="left" w:pos="426"/>
        </w:tabs>
        <w:autoSpaceDE w:val="0"/>
        <w:autoSpaceDN w:val="0"/>
        <w:adjustRightInd w:val="0"/>
        <w:spacing w:line="360" w:lineRule="auto"/>
        <w:rPr>
          <w:lang w:val="bg-BG"/>
        </w:rPr>
      </w:pPr>
      <w:r w:rsidRPr="00955E83">
        <w:rPr>
          <w:lang w:val="bg-BG"/>
        </w:rPr>
        <w:t>Конфигурация</w:t>
      </w:r>
      <w:r w:rsidR="00766058" w:rsidRPr="00955E83">
        <w:rPr>
          <w:lang w:val="bg-BG"/>
        </w:rPr>
        <w:t>, преконфигурация и мониторинг на интернет страницата на БНБ и прилежащата софтуерна среда;</w:t>
      </w:r>
    </w:p>
    <w:p w:rsidR="00766058" w:rsidRPr="00955E83" w:rsidRDefault="003720C8" w:rsidP="00404689">
      <w:pPr>
        <w:widowControl w:val="0"/>
        <w:numPr>
          <w:ilvl w:val="0"/>
          <w:numId w:val="23"/>
        </w:numPr>
        <w:tabs>
          <w:tab w:val="left" w:pos="426"/>
        </w:tabs>
        <w:autoSpaceDE w:val="0"/>
        <w:autoSpaceDN w:val="0"/>
        <w:adjustRightInd w:val="0"/>
        <w:spacing w:line="360" w:lineRule="auto"/>
        <w:rPr>
          <w:lang w:val="bg-BG"/>
        </w:rPr>
      </w:pPr>
      <w:r w:rsidRPr="00955E83">
        <w:rPr>
          <w:lang w:val="bg-BG"/>
        </w:rPr>
        <w:t xml:space="preserve">Профилактика </w:t>
      </w:r>
      <w:r w:rsidR="00766058" w:rsidRPr="00955E83">
        <w:rPr>
          <w:lang w:val="bg-BG"/>
        </w:rPr>
        <w:t>на прилежащата софтуерна среда, състояща се от периодично тестване, анализ и оптимизиране на работата на компонентите;</w:t>
      </w:r>
    </w:p>
    <w:p w:rsidR="00766058" w:rsidRPr="00955E83" w:rsidRDefault="00766058" w:rsidP="00404689">
      <w:pPr>
        <w:widowControl w:val="0"/>
        <w:numPr>
          <w:ilvl w:val="0"/>
          <w:numId w:val="23"/>
        </w:numPr>
        <w:tabs>
          <w:tab w:val="left" w:pos="426"/>
        </w:tabs>
        <w:autoSpaceDE w:val="0"/>
        <w:autoSpaceDN w:val="0"/>
        <w:adjustRightInd w:val="0"/>
        <w:spacing w:line="360" w:lineRule="auto"/>
        <w:rPr>
          <w:lang w:val="bg-BG"/>
        </w:rPr>
      </w:pPr>
      <w:r w:rsidRPr="00955E83">
        <w:rPr>
          <w:lang w:val="bg-BG"/>
        </w:rPr>
        <w:t xml:space="preserve">Даване препоръки и насоки за оптимизиране работата на интернет </w:t>
      </w:r>
      <w:r w:rsidRPr="00955E83">
        <w:rPr>
          <w:lang w:val="bg-BG"/>
        </w:rPr>
        <w:lastRenderedPageBreak/>
        <w:t>страницата на БНБ и прилежащата софтуерна среда въз основа на извършени анализи и проведени тестове;</w:t>
      </w:r>
    </w:p>
    <w:p w:rsidR="00766058" w:rsidRPr="00955E83" w:rsidRDefault="003720C8" w:rsidP="00404689">
      <w:pPr>
        <w:widowControl w:val="0"/>
        <w:numPr>
          <w:ilvl w:val="0"/>
          <w:numId w:val="23"/>
        </w:numPr>
        <w:tabs>
          <w:tab w:val="left" w:pos="426"/>
        </w:tabs>
        <w:autoSpaceDE w:val="0"/>
        <w:autoSpaceDN w:val="0"/>
        <w:adjustRightInd w:val="0"/>
        <w:spacing w:line="360" w:lineRule="auto"/>
        <w:rPr>
          <w:lang w:val="bg-BG"/>
        </w:rPr>
      </w:pPr>
      <w:r w:rsidRPr="00955E83">
        <w:rPr>
          <w:lang w:val="bg-BG"/>
        </w:rPr>
        <w:t xml:space="preserve">Изпълнение </w:t>
      </w:r>
      <w:r w:rsidR="002451D5">
        <w:rPr>
          <w:lang w:val="bg-BG"/>
        </w:rPr>
        <w:t xml:space="preserve">на </w:t>
      </w:r>
      <w:r w:rsidR="00766058" w:rsidRPr="00955E83">
        <w:rPr>
          <w:lang w:val="bg-BG"/>
        </w:rPr>
        <w:t>необходими</w:t>
      </w:r>
      <w:r w:rsidR="002451D5">
        <w:rPr>
          <w:lang w:val="bg-BG"/>
        </w:rPr>
        <w:t>те</w:t>
      </w:r>
      <w:r w:rsidR="00766058" w:rsidRPr="00955E83">
        <w:rPr>
          <w:lang w:val="bg-BG"/>
        </w:rPr>
        <w:t xml:space="preserve"> дейности при добавяне на нови класове данни в статистическата база данни на страницата и те да бъдат визуализирани по изградения вече начин;</w:t>
      </w:r>
    </w:p>
    <w:p w:rsidR="00E47869" w:rsidRPr="00955E83" w:rsidRDefault="00741357" w:rsidP="00404689">
      <w:pPr>
        <w:widowControl w:val="0"/>
        <w:numPr>
          <w:ilvl w:val="0"/>
          <w:numId w:val="23"/>
        </w:numPr>
        <w:tabs>
          <w:tab w:val="left" w:pos="426"/>
        </w:tabs>
        <w:autoSpaceDE w:val="0"/>
        <w:autoSpaceDN w:val="0"/>
        <w:adjustRightInd w:val="0"/>
        <w:spacing w:line="360" w:lineRule="auto"/>
        <w:rPr>
          <w:lang w:val="bg-BG"/>
        </w:rPr>
      </w:pPr>
      <w:r w:rsidRPr="00955E83">
        <w:rPr>
          <w:lang w:val="bg-BG"/>
        </w:rPr>
        <w:t xml:space="preserve">Оказване на </w:t>
      </w:r>
      <w:r w:rsidR="00E47869" w:rsidRPr="00955E83">
        <w:rPr>
          <w:lang w:val="bg-BG"/>
        </w:rPr>
        <w:t>помощ за правилното използване на услугите, изготвя</w:t>
      </w:r>
      <w:r w:rsidRPr="00955E83">
        <w:rPr>
          <w:lang w:val="bg-BG"/>
        </w:rPr>
        <w:t>не</w:t>
      </w:r>
      <w:r w:rsidR="00E47869" w:rsidRPr="00955E83">
        <w:rPr>
          <w:lang w:val="bg-BG"/>
        </w:rPr>
        <w:t xml:space="preserve">, </w:t>
      </w:r>
      <w:r w:rsidRPr="00955E83">
        <w:rPr>
          <w:lang w:val="bg-BG"/>
        </w:rPr>
        <w:t xml:space="preserve">актуализация </w:t>
      </w:r>
      <w:r w:rsidR="00E47869" w:rsidRPr="00955E83">
        <w:rPr>
          <w:lang w:val="bg-BG"/>
        </w:rPr>
        <w:t>и предоставя</w:t>
      </w:r>
      <w:r w:rsidRPr="00955E83">
        <w:rPr>
          <w:lang w:val="bg-BG"/>
        </w:rPr>
        <w:t xml:space="preserve">не на </w:t>
      </w:r>
      <w:r w:rsidR="00E47869" w:rsidRPr="00955E83">
        <w:rPr>
          <w:lang w:val="bg-BG"/>
        </w:rPr>
        <w:t>документация и инструкции за тях</w:t>
      </w:r>
      <w:r w:rsidRPr="00955E83">
        <w:rPr>
          <w:lang w:val="bg-BG"/>
        </w:rPr>
        <w:t>;</w:t>
      </w:r>
    </w:p>
    <w:p w:rsidR="003720C8" w:rsidRPr="00955E83" w:rsidRDefault="003720C8" w:rsidP="00404689">
      <w:pPr>
        <w:widowControl w:val="0"/>
        <w:numPr>
          <w:ilvl w:val="0"/>
          <w:numId w:val="23"/>
        </w:numPr>
        <w:tabs>
          <w:tab w:val="left" w:pos="426"/>
        </w:tabs>
        <w:autoSpaceDE w:val="0"/>
        <w:autoSpaceDN w:val="0"/>
        <w:adjustRightInd w:val="0"/>
        <w:spacing w:line="360" w:lineRule="auto"/>
        <w:rPr>
          <w:lang w:val="bg-BG"/>
        </w:rPr>
      </w:pPr>
      <w:r w:rsidRPr="00955E83">
        <w:rPr>
          <w:lang w:val="bg-BG"/>
        </w:rPr>
        <w:t xml:space="preserve">осигуряване на точка за контакт (тип </w:t>
      </w:r>
      <w:r w:rsidRPr="00955E83">
        <w:t>Help</w:t>
      </w:r>
      <w:r w:rsidRPr="00955E83">
        <w:rPr>
          <w:lang w:val="en-GB"/>
        </w:rPr>
        <w:t>Desk</w:t>
      </w:r>
      <w:r w:rsidRPr="00955E83">
        <w:rPr>
          <w:lang w:val="bg-BG"/>
        </w:rPr>
        <w:t xml:space="preserve">), през която да протича цялата </w:t>
      </w:r>
      <w:r w:rsidR="00741357" w:rsidRPr="00955E83">
        <w:rPr>
          <w:lang w:val="bg-BG"/>
        </w:rPr>
        <w:t>комуникация;</w:t>
      </w:r>
    </w:p>
    <w:p w:rsidR="003720C8" w:rsidRPr="00955E83" w:rsidRDefault="003720C8" w:rsidP="00404689">
      <w:pPr>
        <w:widowControl w:val="0"/>
        <w:numPr>
          <w:ilvl w:val="0"/>
          <w:numId w:val="23"/>
        </w:numPr>
        <w:tabs>
          <w:tab w:val="left" w:pos="426"/>
        </w:tabs>
        <w:autoSpaceDE w:val="0"/>
        <w:autoSpaceDN w:val="0"/>
        <w:adjustRightInd w:val="0"/>
        <w:spacing w:line="360" w:lineRule="auto"/>
        <w:rPr>
          <w:b/>
          <w:lang w:val="bg-BG"/>
        </w:rPr>
      </w:pPr>
      <w:r w:rsidRPr="00955E83">
        <w:rPr>
          <w:lang w:val="bg-BG"/>
        </w:rPr>
        <w:t>действия при инциденти и проблеми;</w:t>
      </w:r>
    </w:p>
    <w:p w:rsidR="003720C8" w:rsidRPr="00955E83" w:rsidRDefault="003720C8" w:rsidP="00404689">
      <w:pPr>
        <w:widowControl w:val="0"/>
        <w:numPr>
          <w:ilvl w:val="0"/>
          <w:numId w:val="23"/>
        </w:numPr>
        <w:tabs>
          <w:tab w:val="left" w:pos="426"/>
        </w:tabs>
        <w:autoSpaceDE w:val="0"/>
        <w:autoSpaceDN w:val="0"/>
        <w:adjustRightInd w:val="0"/>
        <w:spacing w:line="360" w:lineRule="auto"/>
        <w:rPr>
          <w:lang w:val="bg-BG"/>
        </w:rPr>
      </w:pPr>
      <w:r w:rsidRPr="00955E83">
        <w:rPr>
          <w:lang w:val="bg-BG"/>
        </w:rPr>
        <w:t>отстраняване на недостатъци/грешки;</w:t>
      </w:r>
    </w:p>
    <w:p w:rsidR="003720C8" w:rsidRPr="00955E83" w:rsidRDefault="003720C8" w:rsidP="003720C8">
      <w:pPr>
        <w:widowControl w:val="0"/>
        <w:tabs>
          <w:tab w:val="left" w:pos="426"/>
        </w:tabs>
        <w:autoSpaceDE w:val="0"/>
        <w:autoSpaceDN w:val="0"/>
        <w:adjustRightInd w:val="0"/>
        <w:spacing w:line="360" w:lineRule="auto"/>
        <w:ind w:firstLine="0"/>
        <w:rPr>
          <w:lang w:val="bg-BG"/>
        </w:rPr>
      </w:pPr>
    </w:p>
    <w:p w:rsidR="00E47869" w:rsidRPr="00955E83" w:rsidRDefault="00B7649C" w:rsidP="00B7649C">
      <w:pPr>
        <w:pStyle w:val="Heading2"/>
        <w:numPr>
          <w:ilvl w:val="1"/>
          <w:numId w:val="17"/>
        </w:numPr>
        <w:rPr>
          <w:lang w:val="bg-BG"/>
        </w:rPr>
      </w:pPr>
      <w:bookmarkStart w:id="3" w:name="_Toc522710101"/>
      <w:r w:rsidRPr="00955E83">
        <w:rPr>
          <w:lang w:val="bg-BG"/>
        </w:rPr>
        <w:t>Дефиниции</w:t>
      </w:r>
      <w:bookmarkEnd w:id="3"/>
    </w:p>
    <w:p w:rsidR="00E47869" w:rsidRPr="00955E83" w:rsidRDefault="003720C8" w:rsidP="00404689">
      <w:pPr>
        <w:pStyle w:val="ListParagraph"/>
        <w:widowControl w:val="0"/>
        <w:numPr>
          <w:ilvl w:val="0"/>
          <w:numId w:val="24"/>
        </w:numPr>
        <w:tabs>
          <w:tab w:val="left" w:pos="426"/>
        </w:tabs>
        <w:autoSpaceDE w:val="0"/>
        <w:autoSpaceDN w:val="0"/>
        <w:adjustRightInd w:val="0"/>
        <w:spacing w:line="360" w:lineRule="auto"/>
        <w:rPr>
          <w:lang w:val="bg-BG"/>
        </w:rPr>
      </w:pPr>
      <w:r w:rsidRPr="00955E83">
        <w:rPr>
          <w:b/>
          <w:lang w:val="bg-BG"/>
        </w:rPr>
        <w:t>„</w:t>
      </w:r>
      <w:r w:rsidR="00E47869" w:rsidRPr="00955E83">
        <w:rPr>
          <w:b/>
          <w:lang w:val="bg-BG"/>
        </w:rPr>
        <w:t>интернет страница на БНБ</w:t>
      </w:r>
      <w:r w:rsidRPr="00955E83">
        <w:rPr>
          <w:b/>
          <w:lang w:val="bg-BG"/>
        </w:rPr>
        <w:t>“</w:t>
      </w:r>
      <w:r w:rsidR="00E47869" w:rsidRPr="00955E83">
        <w:rPr>
          <w:lang w:val="bg-BG"/>
        </w:rPr>
        <w:t xml:space="preserve"> - софтуер, конфигурационни файлове и данни, </w:t>
      </w:r>
      <w:r w:rsidRPr="00955E83">
        <w:rPr>
          <w:lang w:val="bg-BG"/>
        </w:rPr>
        <w:t>предназначени да реализират предоставянето на достъп до публичната интернет страница</w:t>
      </w:r>
      <w:r w:rsidR="00E47869" w:rsidRPr="00955E83">
        <w:rPr>
          <w:lang w:val="bg-BG"/>
        </w:rPr>
        <w:t>;</w:t>
      </w:r>
    </w:p>
    <w:p w:rsidR="00E47869" w:rsidRPr="00955E83" w:rsidRDefault="003720C8" w:rsidP="00404689">
      <w:pPr>
        <w:pStyle w:val="ListParagraph"/>
        <w:widowControl w:val="0"/>
        <w:numPr>
          <w:ilvl w:val="0"/>
          <w:numId w:val="24"/>
        </w:numPr>
        <w:tabs>
          <w:tab w:val="left" w:pos="426"/>
        </w:tabs>
        <w:autoSpaceDE w:val="0"/>
        <w:autoSpaceDN w:val="0"/>
        <w:adjustRightInd w:val="0"/>
        <w:spacing w:line="360" w:lineRule="auto"/>
        <w:rPr>
          <w:lang w:val="bg-BG"/>
        </w:rPr>
      </w:pPr>
      <w:r w:rsidRPr="00955E83">
        <w:rPr>
          <w:b/>
          <w:lang w:val="bg-BG"/>
        </w:rPr>
        <w:t>„</w:t>
      </w:r>
      <w:r w:rsidR="00E47869" w:rsidRPr="00955E83">
        <w:rPr>
          <w:b/>
          <w:lang w:val="bg-BG"/>
        </w:rPr>
        <w:t>прилежаща софтуерна среда</w:t>
      </w:r>
      <w:r w:rsidRPr="00955E83">
        <w:rPr>
          <w:b/>
          <w:lang w:val="bg-BG"/>
        </w:rPr>
        <w:t>“</w:t>
      </w:r>
      <w:r w:rsidR="00E47869" w:rsidRPr="00955E83">
        <w:rPr>
          <w:lang w:val="bg-BG"/>
        </w:rPr>
        <w:t xml:space="preserve"> - всеки софтуер, който осигурява работата на компонентите на интернет страницата на БНБ, с изключение на системния софтуер (операционна система и драйвери);</w:t>
      </w:r>
    </w:p>
    <w:p w:rsidR="00E47869" w:rsidRPr="00955E83" w:rsidRDefault="003720C8" w:rsidP="00404689">
      <w:pPr>
        <w:pStyle w:val="ListParagraph"/>
        <w:widowControl w:val="0"/>
        <w:numPr>
          <w:ilvl w:val="0"/>
          <w:numId w:val="24"/>
        </w:numPr>
        <w:tabs>
          <w:tab w:val="left" w:pos="426"/>
        </w:tabs>
        <w:autoSpaceDE w:val="0"/>
        <w:autoSpaceDN w:val="0"/>
        <w:adjustRightInd w:val="0"/>
        <w:spacing w:line="360" w:lineRule="auto"/>
        <w:rPr>
          <w:lang w:val="bg-BG"/>
        </w:rPr>
      </w:pPr>
      <w:r w:rsidRPr="00955E83">
        <w:rPr>
          <w:b/>
          <w:lang w:val="bg-BG"/>
        </w:rPr>
        <w:t>„</w:t>
      </w:r>
      <w:r w:rsidR="00E47869" w:rsidRPr="00955E83">
        <w:rPr>
          <w:b/>
          <w:lang w:val="bg-BG"/>
        </w:rPr>
        <w:t>нормален режим на работа</w:t>
      </w:r>
      <w:r w:rsidRPr="00955E83">
        <w:rPr>
          <w:b/>
          <w:lang w:val="bg-BG"/>
        </w:rPr>
        <w:t>“</w:t>
      </w:r>
      <w:r w:rsidR="00E47869" w:rsidRPr="00955E83">
        <w:rPr>
          <w:lang w:val="bg-BG"/>
        </w:rPr>
        <w:t xml:space="preserve"> - работа без прекъсване (24 часа в денонощието и 7 дни в седмицата).</w:t>
      </w:r>
    </w:p>
    <w:p w:rsidR="00E47869" w:rsidRPr="00955E83" w:rsidRDefault="003720C8" w:rsidP="00404689">
      <w:pPr>
        <w:pStyle w:val="ListParagraph"/>
        <w:widowControl w:val="0"/>
        <w:numPr>
          <w:ilvl w:val="0"/>
          <w:numId w:val="24"/>
        </w:numPr>
        <w:tabs>
          <w:tab w:val="left" w:pos="426"/>
        </w:tabs>
        <w:autoSpaceDE w:val="0"/>
        <w:autoSpaceDN w:val="0"/>
        <w:adjustRightInd w:val="0"/>
        <w:spacing w:line="360" w:lineRule="auto"/>
        <w:rPr>
          <w:lang w:val="bg-BG"/>
        </w:rPr>
      </w:pPr>
      <w:r w:rsidRPr="00955E83">
        <w:rPr>
          <w:b/>
          <w:lang w:val="bg-BG"/>
        </w:rPr>
        <w:t>„</w:t>
      </w:r>
      <w:r w:rsidR="00E47869" w:rsidRPr="00955E83">
        <w:rPr>
          <w:b/>
          <w:lang w:val="bg-BG"/>
        </w:rPr>
        <w:t>недостатък</w:t>
      </w:r>
      <w:r w:rsidRPr="00955E83">
        <w:rPr>
          <w:b/>
          <w:lang w:val="bg-BG"/>
        </w:rPr>
        <w:t>“</w:t>
      </w:r>
      <w:r w:rsidR="00E47869" w:rsidRPr="00955E83">
        <w:rPr>
          <w:lang w:val="bg-BG"/>
        </w:rPr>
        <w:t xml:space="preserve"> - всяко несъответствие на налична функционалност спрямо изискванията за нея в техническа спецификация.</w:t>
      </w:r>
    </w:p>
    <w:p w:rsidR="00E47869" w:rsidRPr="00955E83" w:rsidRDefault="003720C8" w:rsidP="00404689">
      <w:pPr>
        <w:pStyle w:val="ListParagraph"/>
        <w:widowControl w:val="0"/>
        <w:numPr>
          <w:ilvl w:val="0"/>
          <w:numId w:val="24"/>
        </w:numPr>
        <w:tabs>
          <w:tab w:val="left" w:pos="426"/>
        </w:tabs>
        <w:autoSpaceDE w:val="0"/>
        <w:autoSpaceDN w:val="0"/>
        <w:adjustRightInd w:val="0"/>
        <w:spacing w:line="360" w:lineRule="auto"/>
        <w:rPr>
          <w:lang w:val="bg-BG"/>
        </w:rPr>
      </w:pPr>
      <w:r w:rsidRPr="00955E83">
        <w:rPr>
          <w:b/>
          <w:lang w:val="bg-BG"/>
        </w:rPr>
        <w:t>„</w:t>
      </w:r>
      <w:r w:rsidR="00E47869" w:rsidRPr="00955E83">
        <w:rPr>
          <w:b/>
          <w:lang w:val="bg-BG"/>
        </w:rPr>
        <w:t>грешка</w:t>
      </w:r>
      <w:r w:rsidRPr="00955E83">
        <w:rPr>
          <w:b/>
          <w:lang w:val="bg-BG"/>
        </w:rPr>
        <w:t>“</w:t>
      </w:r>
      <w:r w:rsidR="00E47869" w:rsidRPr="00955E83">
        <w:rPr>
          <w:lang w:val="bg-BG"/>
        </w:rPr>
        <w:t xml:space="preserve"> - неправилна работа на услугата или компонент от нея.</w:t>
      </w:r>
    </w:p>
    <w:p w:rsidR="00E47869" w:rsidRPr="00955E83" w:rsidRDefault="003720C8" w:rsidP="00404689">
      <w:pPr>
        <w:pStyle w:val="ListParagraph"/>
        <w:widowControl w:val="0"/>
        <w:numPr>
          <w:ilvl w:val="0"/>
          <w:numId w:val="24"/>
        </w:numPr>
        <w:tabs>
          <w:tab w:val="left" w:pos="426"/>
        </w:tabs>
        <w:autoSpaceDE w:val="0"/>
        <w:autoSpaceDN w:val="0"/>
        <w:adjustRightInd w:val="0"/>
        <w:spacing w:line="360" w:lineRule="auto"/>
        <w:rPr>
          <w:lang w:val="bg-BG"/>
        </w:rPr>
      </w:pPr>
      <w:r w:rsidRPr="00955E83">
        <w:rPr>
          <w:b/>
          <w:lang w:val="bg-BG"/>
        </w:rPr>
        <w:t>„</w:t>
      </w:r>
      <w:r w:rsidR="00E47869" w:rsidRPr="00955E83">
        <w:rPr>
          <w:b/>
          <w:lang w:val="bg-BG"/>
        </w:rPr>
        <w:t>инцидент</w:t>
      </w:r>
      <w:r w:rsidRPr="00955E83">
        <w:rPr>
          <w:b/>
          <w:lang w:val="bg-BG"/>
        </w:rPr>
        <w:t>“</w:t>
      </w:r>
      <w:r w:rsidR="00E47869" w:rsidRPr="00955E83">
        <w:rPr>
          <w:lang w:val="bg-BG"/>
        </w:rPr>
        <w:t xml:space="preserve"> и </w:t>
      </w:r>
      <w:r w:rsidRPr="00955E83">
        <w:rPr>
          <w:b/>
          <w:lang w:val="bg-BG"/>
        </w:rPr>
        <w:t>„</w:t>
      </w:r>
      <w:r w:rsidR="00E47869" w:rsidRPr="00955E83">
        <w:rPr>
          <w:b/>
          <w:lang w:val="bg-BG"/>
        </w:rPr>
        <w:t>проблем</w:t>
      </w:r>
      <w:r w:rsidRPr="00955E83">
        <w:rPr>
          <w:b/>
          <w:lang w:val="bg-BG"/>
        </w:rPr>
        <w:t>“</w:t>
      </w:r>
      <w:r w:rsidR="00E47869" w:rsidRPr="00955E83">
        <w:rPr>
          <w:lang w:val="bg-BG"/>
        </w:rPr>
        <w:t xml:space="preserve"> </w:t>
      </w:r>
      <w:r w:rsidRPr="00955E83">
        <w:rPr>
          <w:lang w:val="bg-BG"/>
        </w:rPr>
        <w:t xml:space="preserve">– както са </w:t>
      </w:r>
      <w:r w:rsidR="00E47869" w:rsidRPr="00955E83">
        <w:rPr>
          <w:lang w:val="bg-BG"/>
        </w:rPr>
        <w:t>дефинирани в серията стандарти ISO/IEC 20 000</w:t>
      </w:r>
      <w:r w:rsidR="0021387A">
        <w:rPr>
          <w:lang w:val="bg-BG"/>
        </w:rPr>
        <w:t xml:space="preserve"> (или еквивалент)</w:t>
      </w:r>
      <w:r w:rsidR="00E47869" w:rsidRPr="00955E83">
        <w:rPr>
          <w:lang w:val="bg-BG"/>
        </w:rPr>
        <w:t xml:space="preserve"> и най-добрите практики на ITIL</w:t>
      </w:r>
      <w:r w:rsidR="0021387A">
        <w:t xml:space="preserve"> </w:t>
      </w:r>
      <w:r w:rsidR="0021387A">
        <w:rPr>
          <w:lang w:val="bg-BG"/>
        </w:rPr>
        <w:t>(или еквивалент)</w:t>
      </w:r>
      <w:r w:rsidR="00E47869" w:rsidRPr="00955E83">
        <w:rPr>
          <w:lang w:val="bg-BG"/>
        </w:rPr>
        <w:t>.</w:t>
      </w:r>
    </w:p>
    <w:p w:rsidR="00E47869" w:rsidRPr="00955E83" w:rsidRDefault="00E47869" w:rsidP="00B7649C">
      <w:pPr>
        <w:pStyle w:val="Heading2"/>
        <w:numPr>
          <w:ilvl w:val="1"/>
          <w:numId w:val="17"/>
        </w:numPr>
        <w:rPr>
          <w:lang w:val="bg-BG"/>
        </w:rPr>
      </w:pPr>
      <w:bookmarkStart w:id="4" w:name="_Toc522710102"/>
      <w:r w:rsidRPr="00955E83">
        <w:rPr>
          <w:lang w:val="bg-BG"/>
        </w:rPr>
        <w:t>Процедура</w:t>
      </w:r>
      <w:r w:rsidR="003720C8" w:rsidRPr="00955E83">
        <w:rPr>
          <w:lang w:val="bg-BG"/>
        </w:rPr>
        <w:t xml:space="preserve"> при възникване на инцидент</w:t>
      </w:r>
      <w:bookmarkEnd w:id="4"/>
    </w:p>
    <w:p w:rsidR="00E47869" w:rsidRPr="00955E83" w:rsidRDefault="00E47869" w:rsidP="00E47869">
      <w:pPr>
        <w:widowControl w:val="0"/>
        <w:tabs>
          <w:tab w:val="left" w:pos="426"/>
        </w:tabs>
        <w:autoSpaceDE w:val="0"/>
        <w:autoSpaceDN w:val="0"/>
        <w:adjustRightInd w:val="0"/>
        <w:spacing w:line="360" w:lineRule="auto"/>
        <w:ind w:firstLine="0"/>
        <w:rPr>
          <w:lang w:val="bg-BG"/>
        </w:rPr>
      </w:pPr>
      <w:r w:rsidRPr="00955E83">
        <w:rPr>
          <w:lang w:val="bg-BG"/>
        </w:rPr>
        <w:tab/>
      </w:r>
      <w:r w:rsidRPr="00955E83">
        <w:rPr>
          <w:b/>
          <w:lang w:val="bg-BG"/>
        </w:rPr>
        <w:t>Уведомяване:</w:t>
      </w:r>
      <w:r w:rsidRPr="00955E83">
        <w:rPr>
          <w:lang w:val="bg-BG"/>
        </w:rPr>
        <w:t xml:space="preserve"> </w:t>
      </w:r>
      <w:r w:rsidR="00741357" w:rsidRPr="00955E83">
        <w:rPr>
          <w:lang w:val="bg-BG"/>
        </w:rPr>
        <w:t xml:space="preserve">Представител на БНБ </w:t>
      </w:r>
      <w:r w:rsidRPr="00955E83">
        <w:rPr>
          <w:lang w:val="bg-BG"/>
        </w:rPr>
        <w:t xml:space="preserve">уведомява </w:t>
      </w:r>
      <w:r w:rsidR="00642329" w:rsidRPr="00955E83">
        <w:rPr>
          <w:lang w:val="bg-BG"/>
        </w:rPr>
        <w:t xml:space="preserve">изпълнителя </w:t>
      </w:r>
      <w:r w:rsidRPr="00955E83">
        <w:rPr>
          <w:lang w:val="bg-BG"/>
        </w:rPr>
        <w:t xml:space="preserve">по телефон или електронна поща. </w:t>
      </w:r>
      <w:r w:rsidR="00AB6F73" w:rsidRPr="00AB6F73">
        <w:rPr>
          <w:lang w:val="bg-BG"/>
        </w:rPr>
        <w:t>Заявката извършена</w:t>
      </w:r>
      <w:r w:rsidR="00AB6F73">
        <w:rPr>
          <w:lang w:val="bg-BG"/>
        </w:rPr>
        <w:t xml:space="preserve"> по телефон се потвърждава задължително по електронната поща</w:t>
      </w:r>
      <w:r w:rsidR="00AB6F73">
        <w:t xml:space="preserve">. </w:t>
      </w:r>
      <w:r w:rsidRPr="00955E83">
        <w:rPr>
          <w:lang w:val="bg-BG"/>
        </w:rPr>
        <w:t>Заявката трябва да съдържа възможно най-пълна информация за инцидента, както и име и телефон за връзка на служителя, заявил проблема;</w:t>
      </w:r>
    </w:p>
    <w:p w:rsidR="00E47869" w:rsidRPr="00955E83" w:rsidRDefault="00E47869" w:rsidP="00E47869">
      <w:pPr>
        <w:widowControl w:val="0"/>
        <w:tabs>
          <w:tab w:val="left" w:pos="426"/>
        </w:tabs>
        <w:autoSpaceDE w:val="0"/>
        <w:autoSpaceDN w:val="0"/>
        <w:adjustRightInd w:val="0"/>
        <w:spacing w:line="360" w:lineRule="auto"/>
        <w:ind w:firstLine="0"/>
        <w:rPr>
          <w:lang w:val="bg-BG"/>
        </w:rPr>
      </w:pPr>
      <w:r w:rsidRPr="00955E83">
        <w:rPr>
          <w:b/>
          <w:lang w:val="bg-BG"/>
        </w:rPr>
        <w:lastRenderedPageBreak/>
        <w:tab/>
        <w:t>Реакция:</w:t>
      </w:r>
      <w:r w:rsidRPr="00955E83">
        <w:rPr>
          <w:lang w:val="bg-BG"/>
        </w:rPr>
        <w:t xml:space="preserve"> след подаване на заявката </w:t>
      </w:r>
      <w:r w:rsidR="00642329" w:rsidRPr="00955E83">
        <w:rPr>
          <w:lang w:val="bg-BG"/>
        </w:rPr>
        <w:t xml:space="preserve">изпълнителят </w:t>
      </w:r>
      <w:r w:rsidRPr="00955E83">
        <w:rPr>
          <w:lang w:val="bg-BG"/>
        </w:rPr>
        <w:t>извършва точна диагностика, целяща предприемането на последващи оптимални действия за възстановяване на услугата;</w:t>
      </w:r>
    </w:p>
    <w:p w:rsidR="00E47869" w:rsidRPr="00955E83" w:rsidRDefault="003720C8" w:rsidP="003720C8">
      <w:pPr>
        <w:widowControl w:val="0"/>
        <w:tabs>
          <w:tab w:val="left" w:pos="426"/>
        </w:tabs>
        <w:autoSpaceDE w:val="0"/>
        <w:autoSpaceDN w:val="0"/>
        <w:adjustRightInd w:val="0"/>
        <w:spacing w:line="360" w:lineRule="auto"/>
        <w:ind w:firstLine="0"/>
        <w:rPr>
          <w:lang w:val="bg-BG"/>
        </w:rPr>
      </w:pPr>
      <w:r w:rsidRPr="00955E83">
        <w:rPr>
          <w:lang w:val="bg-BG"/>
        </w:rPr>
        <w:tab/>
      </w:r>
      <w:r w:rsidR="00E47869" w:rsidRPr="00955E83">
        <w:rPr>
          <w:b/>
          <w:lang w:val="bg-BG"/>
        </w:rPr>
        <w:t>Отстраняване:</w:t>
      </w:r>
      <w:r w:rsidR="00E47869" w:rsidRPr="00955E83">
        <w:rPr>
          <w:lang w:val="bg-BG"/>
        </w:rPr>
        <w:t xml:space="preserve"> до 2 (два) часа след подаване на заявката;</w:t>
      </w:r>
    </w:p>
    <w:p w:rsidR="00E47869" w:rsidRPr="00955E83" w:rsidRDefault="003720C8" w:rsidP="003720C8">
      <w:pPr>
        <w:widowControl w:val="0"/>
        <w:tabs>
          <w:tab w:val="left" w:pos="426"/>
        </w:tabs>
        <w:autoSpaceDE w:val="0"/>
        <w:autoSpaceDN w:val="0"/>
        <w:adjustRightInd w:val="0"/>
        <w:spacing w:line="360" w:lineRule="auto"/>
        <w:ind w:firstLine="0"/>
        <w:rPr>
          <w:lang w:val="bg-BG"/>
        </w:rPr>
      </w:pPr>
      <w:r w:rsidRPr="00955E83">
        <w:rPr>
          <w:lang w:val="bg-BG"/>
        </w:rPr>
        <w:tab/>
      </w:r>
      <w:r w:rsidR="00E47869" w:rsidRPr="00955E83">
        <w:rPr>
          <w:b/>
          <w:lang w:val="bg-BG"/>
        </w:rPr>
        <w:t>Документиране:</w:t>
      </w:r>
      <w:r w:rsidR="00E47869" w:rsidRPr="00955E83">
        <w:rPr>
          <w:lang w:val="bg-BG"/>
        </w:rPr>
        <w:t xml:space="preserve"> веднага след възстановяване на услугата </w:t>
      </w:r>
      <w:r w:rsidR="00642329" w:rsidRPr="00955E83">
        <w:rPr>
          <w:lang w:val="bg-BG"/>
        </w:rPr>
        <w:t xml:space="preserve">изпълнителят </w:t>
      </w:r>
      <w:r w:rsidR="00E47869" w:rsidRPr="00955E83">
        <w:rPr>
          <w:lang w:val="bg-BG"/>
        </w:rPr>
        <w:t xml:space="preserve">изготвя констативен протокол, в който се вписва обективното състояние и се описват всички предприети действия. Протоколът се подписва от представителите на двете страни. Ако в процеса на възстановяване на услугата са идентифицирани проблеми, </w:t>
      </w:r>
      <w:r w:rsidR="00C5634F" w:rsidRPr="00955E83">
        <w:rPr>
          <w:lang w:val="bg-BG"/>
        </w:rPr>
        <w:t xml:space="preserve">изпълнителят </w:t>
      </w:r>
      <w:r w:rsidR="00E47869" w:rsidRPr="00955E83">
        <w:rPr>
          <w:lang w:val="bg-BG"/>
        </w:rPr>
        <w:t>съставя необходимите документи за тях;</w:t>
      </w:r>
    </w:p>
    <w:p w:rsidR="00E47869" w:rsidRPr="00955E83" w:rsidRDefault="003720C8" w:rsidP="003720C8">
      <w:pPr>
        <w:widowControl w:val="0"/>
        <w:tabs>
          <w:tab w:val="left" w:pos="426"/>
        </w:tabs>
        <w:autoSpaceDE w:val="0"/>
        <w:autoSpaceDN w:val="0"/>
        <w:adjustRightInd w:val="0"/>
        <w:spacing w:line="360" w:lineRule="auto"/>
        <w:ind w:firstLine="0"/>
        <w:rPr>
          <w:lang w:val="bg-BG"/>
        </w:rPr>
      </w:pPr>
      <w:r w:rsidRPr="00955E83">
        <w:rPr>
          <w:lang w:val="bg-BG"/>
        </w:rPr>
        <w:tab/>
      </w:r>
      <w:r w:rsidR="00E47869" w:rsidRPr="00955E83">
        <w:rPr>
          <w:b/>
          <w:lang w:val="bg-BG"/>
        </w:rPr>
        <w:t>Ескалация:</w:t>
      </w:r>
      <w:r w:rsidR="00E47869" w:rsidRPr="00955E83">
        <w:rPr>
          <w:lang w:val="bg-BG"/>
        </w:rPr>
        <w:t xml:space="preserve"> при невъзможност да възстанови услугата в установения срок </w:t>
      </w:r>
      <w:r w:rsidR="00C5634F" w:rsidRPr="00955E83">
        <w:rPr>
          <w:lang w:val="bg-BG"/>
        </w:rPr>
        <w:t xml:space="preserve">изпълнителят </w:t>
      </w:r>
      <w:r w:rsidR="00E47869" w:rsidRPr="00955E83">
        <w:rPr>
          <w:lang w:val="bg-BG"/>
        </w:rPr>
        <w:t>уведомява веднага всички заинтересовани страни, включително и трети страни, които имат отношение към работата на услугата.</w:t>
      </w:r>
    </w:p>
    <w:p w:rsidR="00E47869" w:rsidRPr="00955E83" w:rsidRDefault="00E47869" w:rsidP="00B7649C">
      <w:pPr>
        <w:pStyle w:val="Heading2"/>
        <w:numPr>
          <w:ilvl w:val="1"/>
          <w:numId w:val="17"/>
        </w:numPr>
        <w:rPr>
          <w:lang w:val="bg-BG"/>
        </w:rPr>
      </w:pPr>
      <w:bookmarkStart w:id="5" w:name="_Toc522710103"/>
      <w:r w:rsidRPr="00955E83">
        <w:rPr>
          <w:lang w:val="bg-BG"/>
        </w:rPr>
        <w:t>Процедур</w:t>
      </w:r>
      <w:r w:rsidR="00A07EE2" w:rsidRPr="00955E83">
        <w:rPr>
          <w:lang w:val="bg-BG"/>
        </w:rPr>
        <w:t>а</w:t>
      </w:r>
      <w:r w:rsidRPr="00955E83">
        <w:rPr>
          <w:lang w:val="bg-BG"/>
        </w:rPr>
        <w:t xml:space="preserve"> при възникване на проблеми, недостатъци и грешки.</w:t>
      </w:r>
      <w:bookmarkEnd w:id="5"/>
    </w:p>
    <w:p w:rsidR="00E47869" w:rsidRPr="00955E83" w:rsidRDefault="003720C8" w:rsidP="003720C8">
      <w:pPr>
        <w:widowControl w:val="0"/>
        <w:tabs>
          <w:tab w:val="left" w:pos="426"/>
        </w:tabs>
        <w:autoSpaceDE w:val="0"/>
        <w:autoSpaceDN w:val="0"/>
        <w:adjustRightInd w:val="0"/>
        <w:spacing w:line="360" w:lineRule="auto"/>
        <w:ind w:firstLine="0"/>
        <w:rPr>
          <w:lang w:val="bg-BG"/>
        </w:rPr>
      </w:pPr>
      <w:r w:rsidRPr="00955E83">
        <w:rPr>
          <w:lang w:val="bg-BG"/>
        </w:rPr>
        <w:tab/>
      </w:r>
      <w:r w:rsidR="00E47869" w:rsidRPr="00955E83">
        <w:rPr>
          <w:b/>
          <w:lang w:val="bg-BG"/>
        </w:rPr>
        <w:t xml:space="preserve">Уведомяване: </w:t>
      </w:r>
      <w:r w:rsidR="00642329" w:rsidRPr="00955E83">
        <w:rPr>
          <w:lang w:val="bg-BG"/>
        </w:rPr>
        <w:t xml:space="preserve">Представител на БНБ </w:t>
      </w:r>
      <w:r w:rsidR="00E47869" w:rsidRPr="00955E83">
        <w:rPr>
          <w:lang w:val="bg-BG"/>
        </w:rPr>
        <w:t xml:space="preserve">уведомява </w:t>
      </w:r>
      <w:r w:rsidR="00642329" w:rsidRPr="00955E83">
        <w:rPr>
          <w:lang w:val="bg-BG"/>
        </w:rPr>
        <w:t xml:space="preserve">изпълнителя </w:t>
      </w:r>
      <w:r w:rsidR="00E47869" w:rsidRPr="00955E83">
        <w:rPr>
          <w:lang w:val="bg-BG"/>
        </w:rPr>
        <w:t xml:space="preserve">чрез протокол по образец, съставен от администраторите на страницата и сървърите, и изпратен по електронната поща. </w:t>
      </w:r>
      <w:r w:rsidR="00642329" w:rsidRPr="00955E83">
        <w:rPr>
          <w:lang w:val="bg-BG"/>
        </w:rPr>
        <w:t xml:space="preserve">Всяко </w:t>
      </w:r>
      <w:r w:rsidR="00E47869" w:rsidRPr="00955E83">
        <w:rPr>
          <w:lang w:val="bg-BG"/>
        </w:rPr>
        <w:t xml:space="preserve">съобщение </w:t>
      </w:r>
      <w:r w:rsidR="00642329" w:rsidRPr="00955E83">
        <w:rPr>
          <w:lang w:val="bg-BG"/>
        </w:rPr>
        <w:t xml:space="preserve">трябва </w:t>
      </w:r>
      <w:r w:rsidR="00E47869" w:rsidRPr="00955E83">
        <w:rPr>
          <w:lang w:val="bg-BG"/>
        </w:rPr>
        <w:t xml:space="preserve">да бъде с поискана разписка за доставката и за прочитането на съобщението, а </w:t>
      </w:r>
      <w:r w:rsidR="00642329" w:rsidRPr="00955E83">
        <w:rPr>
          <w:lang w:val="bg-BG"/>
        </w:rPr>
        <w:t xml:space="preserve">изпълнителят </w:t>
      </w:r>
      <w:r w:rsidR="00E47869" w:rsidRPr="00955E83">
        <w:rPr>
          <w:lang w:val="bg-BG"/>
        </w:rPr>
        <w:t>да върне обратната разписка или отговор на електронното съобщение;</w:t>
      </w:r>
    </w:p>
    <w:p w:rsidR="00E47869" w:rsidRPr="00955E83" w:rsidRDefault="003720C8" w:rsidP="003720C8">
      <w:pPr>
        <w:widowControl w:val="0"/>
        <w:tabs>
          <w:tab w:val="left" w:pos="426"/>
        </w:tabs>
        <w:autoSpaceDE w:val="0"/>
        <w:autoSpaceDN w:val="0"/>
        <w:adjustRightInd w:val="0"/>
        <w:spacing w:line="360" w:lineRule="auto"/>
        <w:ind w:firstLine="0"/>
        <w:rPr>
          <w:lang w:val="bg-BG"/>
        </w:rPr>
      </w:pPr>
      <w:r w:rsidRPr="00955E83">
        <w:rPr>
          <w:lang w:val="bg-BG"/>
        </w:rPr>
        <w:tab/>
      </w:r>
      <w:r w:rsidR="00E47869" w:rsidRPr="00955E83">
        <w:rPr>
          <w:b/>
          <w:lang w:val="bg-BG"/>
        </w:rPr>
        <w:t xml:space="preserve">Реакция: </w:t>
      </w:r>
      <w:r w:rsidR="00E47869" w:rsidRPr="00955E83">
        <w:rPr>
          <w:lang w:val="bg-BG"/>
        </w:rPr>
        <w:t xml:space="preserve">Срокът за реакция е до 4 (четири) часа и започва да тече от часа, в който електронната поща е била доставена на сървъра на </w:t>
      </w:r>
      <w:r w:rsidR="00642329" w:rsidRPr="00955E83">
        <w:rPr>
          <w:lang w:val="bg-BG"/>
        </w:rPr>
        <w:t>изпълнителя</w:t>
      </w:r>
      <w:r w:rsidR="00E47869" w:rsidRPr="00955E83">
        <w:rPr>
          <w:lang w:val="bg-BG"/>
        </w:rPr>
        <w:t xml:space="preserve">. </w:t>
      </w:r>
      <w:r w:rsidR="00642329" w:rsidRPr="00955E83">
        <w:rPr>
          <w:lang w:val="bg-BG"/>
        </w:rPr>
        <w:t xml:space="preserve">Изпълнителят </w:t>
      </w:r>
      <w:r w:rsidR="00E47869" w:rsidRPr="00955E83">
        <w:rPr>
          <w:lang w:val="bg-BG"/>
        </w:rPr>
        <w:t xml:space="preserve">се задължава в рамките на времето за реакция да информира </w:t>
      </w:r>
      <w:r w:rsidR="00642329" w:rsidRPr="00955E83">
        <w:rPr>
          <w:lang w:val="bg-BG"/>
        </w:rPr>
        <w:t xml:space="preserve">представителя на БНБ </w:t>
      </w:r>
      <w:r w:rsidR="00E47869" w:rsidRPr="00955E83">
        <w:rPr>
          <w:lang w:val="bg-BG"/>
        </w:rPr>
        <w:t xml:space="preserve">за сериозността на проблема и да предложи срок за отстраняването му, който да бъде утвърден от </w:t>
      </w:r>
      <w:r w:rsidR="00642329" w:rsidRPr="00955E83">
        <w:rPr>
          <w:lang w:val="bg-BG"/>
        </w:rPr>
        <w:t>него</w:t>
      </w:r>
      <w:r w:rsidR="00AD2440">
        <w:rPr>
          <w:lang w:val="bg-BG"/>
        </w:rPr>
        <w:t xml:space="preserve"> в подписан между страните протокол</w:t>
      </w:r>
      <w:r w:rsidR="00E47869" w:rsidRPr="00955E83">
        <w:rPr>
          <w:lang w:val="bg-BG"/>
        </w:rPr>
        <w:t>;</w:t>
      </w:r>
    </w:p>
    <w:p w:rsidR="00E47869" w:rsidRPr="00955E83" w:rsidRDefault="003720C8" w:rsidP="003720C8">
      <w:pPr>
        <w:widowControl w:val="0"/>
        <w:tabs>
          <w:tab w:val="left" w:pos="426"/>
        </w:tabs>
        <w:autoSpaceDE w:val="0"/>
        <w:autoSpaceDN w:val="0"/>
        <w:adjustRightInd w:val="0"/>
        <w:spacing w:line="360" w:lineRule="auto"/>
        <w:ind w:firstLine="0"/>
        <w:rPr>
          <w:lang w:val="bg-BG"/>
        </w:rPr>
      </w:pPr>
      <w:r w:rsidRPr="00955E83">
        <w:rPr>
          <w:lang w:val="bg-BG"/>
        </w:rPr>
        <w:tab/>
      </w:r>
      <w:r w:rsidR="00E47869" w:rsidRPr="00955E83">
        <w:rPr>
          <w:b/>
          <w:lang w:val="bg-BG"/>
        </w:rPr>
        <w:t xml:space="preserve">Отстраняване: </w:t>
      </w:r>
      <w:r w:rsidR="00E47869" w:rsidRPr="00955E83">
        <w:rPr>
          <w:lang w:val="bg-BG"/>
        </w:rPr>
        <w:t xml:space="preserve">В утвърдения срок за отстраняване </w:t>
      </w:r>
      <w:r w:rsidR="00642329" w:rsidRPr="00955E83">
        <w:rPr>
          <w:lang w:val="bg-BG"/>
        </w:rPr>
        <w:t xml:space="preserve">изпълнителят </w:t>
      </w:r>
      <w:r w:rsidR="00E47869" w:rsidRPr="00955E83">
        <w:rPr>
          <w:lang w:val="bg-BG"/>
        </w:rPr>
        <w:t>трябва да:</w:t>
      </w:r>
    </w:p>
    <w:p w:rsidR="00E47869" w:rsidRPr="00955E83" w:rsidRDefault="003720C8" w:rsidP="00A07EE2">
      <w:pPr>
        <w:widowControl w:val="0"/>
        <w:tabs>
          <w:tab w:val="left" w:pos="426"/>
        </w:tabs>
        <w:autoSpaceDE w:val="0"/>
        <w:autoSpaceDN w:val="0"/>
        <w:adjustRightInd w:val="0"/>
        <w:ind w:firstLine="0"/>
        <w:contextualSpacing/>
        <w:rPr>
          <w:lang w:val="bg-BG"/>
        </w:rPr>
      </w:pPr>
      <w:r w:rsidRPr="00955E83">
        <w:rPr>
          <w:lang w:val="bg-BG"/>
        </w:rPr>
        <w:tab/>
        <w:t xml:space="preserve">1. </w:t>
      </w:r>
      <w:r w:rsidR="00E47869" w:rsidRPr="00955E83">
        <w:rPr>
          <w:lang w:val="bg-BG"/>
        </w:rPr>
        <w:t>открие първопричината за възникването;</w:t>
      </w:r>
    </w:p>
    <w:p w:rsidR="00E47869" w:rsidRPr="00955E83" w:rsidRDefault="003720C8" w:rsidP="00A07EE2">
      <w:pPr>
        <w:widowControl w:val="0"/>
        <w:tabs>
          <w:tab w:val="left" w:pos="426"/>
        </w:tabs>
        <w:autoSpaceDE w:val="0"/>
        <w:autoSpaceDN w:val="0"/>
        <w:adjustRightInd w:val="0"/>
        <w:ind w:firstLine="0"/>
        <w:contextualSpacing/>
        <w:rPr>
          <w:lang w:val="bg-BG"/>
        </w:rPr>
      </w:pPr>
      <w:r w:rsidRPr="00955E83">
        <w:rPr>
          <w:lang w:val="bg-BG"/>
        </w:rPr>
        <w:tab/>
      </w:r>
      <w:r w:rsidR="00E47869" w:rsidRPr="00955E83">
        <w:rPr>
          <w:lang w:val="bg-BG"/>
        </w:rPr>
        <w:t>2. предложи решение;</w:t>
      </w:r>
    </w:p>
    <w:p w:rsidR="00E47869" w:rsidRPr="00955E83" w:rsidRDefault="003720C8" w:rsidP="00A07EE2">
      <w:pPr>
        <w:widowControl w:val="0"/>
        <w:tabs>
          <w:tab w:val="left" w:pos="426"/>
        </w:tabs>
        <w:autoSpaceDE w:val="0"/>
        <w:autoSpaceDN w:val="0"/>
        <w:adjustRightInd w:val="0"/>
        <w:ind w:firstLine="0"/>
        <w:contextualSpacing/>
        <w:rPr>
          <w:lang w:val="bg-BG"/>
        </w:rPr>
      </w:pPr>
      <w:r w:rsidRPr="00955E83">
        <w:rPr>
          <w:lang w:val="bg-BG"/>
        </w:rPr>
        <w:tab/>
      </w:r>
      <w:r w:rsidR="00E47869" w:rsidRPr="00955E83">
        <w:rPr>
          <w:lang w:val="bg-BG"/>
        </w:rPr>
        <w:t xml:space="preserve">3. тества предложеното решение. След утвърждаване от </w:t>
      </w:r>
      <w:r w:rsidR="00642329" w:rsidRPr="00955E83">
        <w:rPr>
          <w:lang w:val="bg-BG"/>
        </w:rPr>
        <w:t xml:space="preserve">представителя на БНБ </w:t>
      </w:r>
      <w:r w:rsidR="00E47869" w:rsidRPr="00955E83">
        <w:rPr>
          <w:lang w:val="bg-BG"/>
        </w:rPr>
        <w:t>да приложи това решение в производствената среда;</w:t>
      </w:r>
    </w:p>
    <w:p w:rsidR="00E47869" w:rsidRPr="00955E83" w:rsidRDefault="003720C8" w:rsidP="003720C8">
      <w:pPr>
        <w:widowControl w:val="0"/>
        <w:tabs>
          <w:tab w:val="left" w:pos="426"/>
        </w:tabs>
        <w:autoSpaceDE w:val="0"/>
        <w:autoSpaceDN w:val="0"/>
        <w:adjustRightInd w:val="0"/>
        <w:spacing w:line="360" w:lineRule="auto"/>
        <w:ind w:firstLine="0"/>
        <w:rPr>
          <w:lang w:val="bg-BG"/>
        </w:rPr>
      </w:pPr>
      <w:r w:rsidRPr="00955E83">
        <w:rPr>
          <w:b/>
          <w:lang w:val="bg-BG"/>
        </w:rPr>
        <w:tab/>
      </w:r>
      <w:r w:rsidR="00E47869" w:rsidRPr="00955E83">
        <w:rPr>
          <w:b/>
          <w:lang w:val="bg-BG"/>
        </w:rPr>
        <w:t>Документиране:</w:t>
      </w:r>
      <w:r w:rsidR="00E47869" w:rsidRPr="00955E83">
        <w:rPr>
          <w:lang w:val="bg-BG"/>
        </w:rPr>
        <w:t xml:space="preserve"> Всяко действие и взето решение се регистрира в протокола по образец и се изпращат всички съпътстващи файлове и документи;</w:t>
      </w:r>
    </w:p>
    <w:p w:rsidR="00E47869" w:rsidRPr="00955E83" w:rsidRDefault="003720C8" w:rsidP="003720C8">
      <w:pPr>
        <w:widowControl w:val="0"/>
        <w:tabs>
          <w:tab w:val="left" w:pos="426"/>
        </w:tabs>
        <w:autoSpaceDE w:val="0"/>
        <w:autoSpaceDN w:val="0"/>
        <w:adjustRightInd w:val="0"/>
        <w:spacing w:line="360" w:lineRule="auto"/>
        <w:ind w:firstLine="0"/>
        <w:rPr>
          <w:lang w:val="bg-BG"/>
        </w:rPr>
      </w:pPr>
      <w:r w:rsidRPr="00955E83">
        <w:rPr>
          <w:lang w:val="bg-BG"/>
        </w:rPr>
        <w:tab/>
      </w:r>
      <w:r w:rsidR="00E47869" w:rsidRPr="00955E83">
        <w:rPr>
          <w:b/>
          <w:lang w:val="bg-BG"/>
        </w:rPr>
        <w:t>Ескалация:</w:t>
      </w:r>
      <w:r w:rsidR="00E47869" w:rsidRPr="00955E83">
        <w:rPr>
          <w:lang w:val="bg-BG"/>
        </w:rPr>
        <w:t xml:space="preserve"> При невъзможност да отстрани проблем, недостатък или грешка в утвърдения срок </w:t>
      </w:r>
      <w:r w:rsidR="00C5634F" w:rsidRPr="00955E83">
        <w:rPr>
          <w:lang w:val="bg-BG"/>
        </w:rPr>
        <w:t xml:space="preserve">изпълнителят </w:t>
      </w:r>
      <w:r w:rsidR="00E47869" w:rsidRPr="00955E83">
        <w:rPr>
          <w:lang w:val="bg-BG"/>
        </w:rPr>
        <w:t xml:space="preserve">уведомява веднага всички заинтересовани страни, </w:t>
      </w:r>
      <w:r w:rsidR="00E47869" w:rsidRPr="00955E83">
        <w:rPr>
          <w:lang w:val="bg-BG"/>
        </w:rPr>
        <w:lastRenderedPageBreak/>
        <w:t>включително и трети страни, които имат отношение към работата на услугата.</w:t>
      </w:r>
    </w:p>
    <w:p w:rsidR="007B7A38" w:rsidRPr="00955E83" w:rsidRDefault="000B0D9C" w:rsidP="005A27B1">
      <w:pPr>
        <w:pStyle w:val="Heading1"/>
        <w:numPr>
          <w:ilvl w:val="0"/>
          <w:numId w:val="17"/>
        </w:numPr>
        <w:rPr>
          <w:lang w:val="bg-BG"/>
        </w:rPr>
      </w:pPr>
      <w:bookmarkStart w:id="6" w:name="_Toc522710104"/>
      <w:r w:rsidRPr="000B0D9C">
        <w:rPr>
          <w:lang w:val="bg-BG"/>
        </w:rPr>
        <w:t>Проектиране, разработване и внедряване на подобрения, изменения и допълнения, наричани за краткост „актуализации“</w:t>
      </w:r>
      <w:r>
        <w:rPr>
          <w:lang w:val="bg-BG"/>
        </w:rPr>
        <w:t>.</w:t>
      </w:r>
      <w:bookmarkEnd w:id="6"/>
      <w:r>
        <w:rPr>
          <w:lang w:val="bg-BG"/>
        </w:rPr>
        <w:t xml:space="preserve"> </w:t>
      </w:r>
    </w:p>
    <w:p w:rsidR="00994785" w:rsidRPr="00955E83" w:rsidRDefault="00994785" w:rsidP="005A27B1">
      <w:pPr>
        <w:pStyle w:val="Heading2"/>
        <w:numPr>
          <w:ilvl w:val="1"/>
          <w:numId w:val="17"/>
        </w:numPr>
        <w:rPr>
          <w:lang w:val="bg-BG"/>
        </w:rPr>
      </w:pPr>
      <w:bookmarkStart w:id="7" w:name="_Toc522710105"/>
      <w:r w:rsidRPr="00955E83">
        <w:rPr>
          <w:lang w:val="bg-BG"/>
        </w:rPr>
        <w:t>Промени, свързани с разпространяването на статистически данни</w:t>
      </w:r>
      <w:bookmarkEnd w:id="7"/>
    </w:p>
    <w:p w:rsidR="00994785" w:rsidRPr="00955E83" w:rsidRDefault="00994785" w:rsidP="005A27B1">
      <w:pPr>
        <w:pStyle w:val="Heading3"/>
        <w:numPr>
          <w:ilvl w:val="2"/>
          <w:numId w:val="17"/>
        </w:numPr>
        <w:rPr>
          <w:lang w:val="bg-BG"/>
        </w:rPr>
      </w:pPr>
      <w:bookmarkStart w:id="8" w:name="_Toc522710106"/>
      <w:r w:rsidRPr="00955E83">
        <w:rPr>
          <w:lang w:val="bg-BG"/>
        </w:rPr>
        <w:t>Визуализация на SDMX кодовете в статистическата база данни</w:t>
      </w:r>
      <w:bookmarkEnd w:id="8"/>
    </w:p>
    <w:p w:rsidR="00994785" w:rsidRPr="00955E83" w:rsidRDefault="00994785" w:rsidP="005A27B1">
      <w:pPr>
        <w:pStyle w:val="ListParagraph"/>
        <w:numPr>
          <w:ilvl w:val="3"/>
          <w:numId w:val="17"/>
        </w:numPr>
        <w:spacing w:after="120"/>
        <w:rPr>
          <w:lang w:val="bg-BG"/>
        </w:rPr>
      </w:pPr>
      <w:r w:rsidRPr="00955E83">
        <w:rPr>
          <w:lang w:val="bg-BG"/>
        </w:rPr>
        <w:t>Визуализация на SDMX кодовете във филтрите.</w:t>
      </w:r>
    </w:p>
    <w:p w:rsidR="00994785" w:rsidRPr="00955E83" w:rsidRDefault="00994785" w:rsidP="0070336A">
      <w:pPr>
        <w:spacing w:after="120"/>
        <w:ind w:firstLine="708"/>
        <w:rPr>
          <w:lang w:val="bg-BG"/>
        </w:rPr>
      </w:pPr>
      <w:r w:rsidRPr="00955E83">
        <w:rPr>
          <w:lang w:val="bg-BG"/>
        </w:rPr>
        <w:t>Стойностите на филтрите да се визуализират по следния начин:</w:t>
      </w:r>
    </w:p>
    <w:p w:rsidR="00994785" w:rsidRPr="00955E83" w:rsidRDefault="00994785" w:rsidP="0070336A">
      <w:pPr>
        <w:spacing w:after="120"/>
        <w:ind w:firstLine="708"/>
        <w:rPr>
          <w:lang w:val="bg-BG"/>
        </w:rPr>
      </w:pPr>
      <w:r w:rsidRPr="00955E83">
        <w:rPr>
          <w:lang w:val="bg-BG"/>
        </w:rPr>
        <w:t xml:space="preserve">[Код] Описание на стойността в филтъра </w:t>
      </w:r>
    </w:p>
    <w:p w:rsidR="00994785" w:rsidRPr="00955E83" w:rsidRDefault="00994785" w:rsidP="0070336A">
      <w:pPr>
        <w:spacing w:after="120"/>
        <w:ind w:firstLine="708"/>
        <w:rPr>
          <w:lang w:val="bg-BG"/>
        </w:rPr>
      </w:pPr>
      <w:r w:rsidRPr="00955E83">
        <w:rPr>
          <w:lang w:val="bg-BG"/>
        </w:rPr>
        <w:t>Кодовете следва да са разделени с точка(.).</w:t>
      </w:r>
    </w:p>
    <w:p w:rsidR="00994785" w:rsidRPr="00955E83" w:rsidRDefault="00994785" w:rsidP="00EB1411">
      <w:pPr>
        <w:pStyle w:val="ListParagraph"/>
        <w:numPr>
          <w:ilvl w:val="3"/>
          <w:numId w:val="17"/>
        </w:numPr>
        <w:spacing w:after="120"/>
        <w:rPr>
          <w:lang w:val="bg-BG"/>
        </w:rPr>
      </w:pPr>
      <w:r w:rsidRPr="00955E83">
        <w:rPr>
          <w:lang w:val="bg-BG"/>
        </w:rPr>
        <w:t>Визуализация на SDMX ключовете при избора на серии във вида:</w:t>
      </w: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firstRow="1" w:lastRow="0" w:firstColumn="1" w:lastColumn="0" w:noHBand="0" w:noVBand="0"/>
      </w:tblPr>
      <w:tblGrid>
        <w:gridCol w:w="426"/>
        <w:gridCol w:w="5922"/>
        <w:gridCol w:w="2832"/>
      </w:tblGrid>
      <w:tr w:rsidR="00955E83" w:rsidRPr="00955E83" w:rsidTr="001E406C">
        <w:tc>
          <w:tcPr>
            <w:tcW w:w="426" w:type="dxa"/>
            <w:shd w:val="clear" w:color="auto" w:fill="FFC000"/>
          </w:tcPr>
          <w:p w:rsidR="00994785" w:rsidRPr="00955E83" w:rsidRDefault="00994785" w:rsidP="001E406C">
            <w:pPr>
              <w:spacing w:after="120" w:line="240" w:lineRule="auto"/>
              <w:rPr>
                <w:lang w:val="bg-BG"/>
              </w:rPr>
            </w:pPr>
          </w:p>
        </w:tc>
        <w:tc>
          <w:tcPr>
            <w:tcW w:w="5922" w:type="dxa"/>
            <w:shd w:val="clear" w:color="auto" w:fill="FFC000"/>
          </w:tcPr>
          <w:p w:rsidR="00994785" w:rsidRPr="00955E83" w:rsidRDefault="00994785" w:rsidP="001E406C">
            <w:pPr>
              <w:spacing w:after="120" w:line="240" w:lineRule="auto"/>
              <w:rPr>
                <w:lang w:val="bg-BG"/>
              </w:rPr>
            </w:pPr>
            <w:r w:rsidRPr="00955E83">
              <w:rPr>
                <w:lang w:val="bg-BG"/>
              </w:rPr>
              <w:t>Заглавие / Title</w:t>
            </w:r>
          </w:p>
        </w:tc>
        <w:tc>
          <w:tcPr>
            <w:tcW w:w="2832" w:type="dxa"/>
            <w:shd w:val="clear" w:color="auto" w:fill="FFC000"/>
          </w:tcPr>
          <w:p w:rsidR="00994785" w:rsidRPr="00955E83" w:rsidRDefault="00994785" w:rsidP="001E406C">
            <w:pPr>
              <w:spacing w:after="120" w:line="240" w:lineRule="auto"/>
              <w:rPr>
                <w:lang w:val="bg-BG"/>
              </w:rPr>
            </w:pPr>
            <w:r w:rsidRPr="00955E83">
              <w:rPr>
                <w:lang w:val="bg-BG"/>
              </w:rPr>
              <w:t>Ключ/ Key</w:t>
            </w:r>
          </w:p>
        </w:tc>
      </w:tr>
      <w:tr w:rsidR="00955E83" w:rsidRPr="00955E83" w:rsidTr="001E406C">
        <w:tc>
          <w:tcPr>
            <w:tcW w:w="426" w:type="dxa"/>
          </w:tcPr>
          <w:p w:rsidR="00994785" w:rsidRPr="00955E83" w:rsidRDefault="00994785" w:rsidP="001E406C">
            <w:pPr>
              <w:spacing w:after="120" w:line="240" w:lineRule="auto"/>
              <w:rPr>
                <w:lang w:val="bg-BG"/>
              </w:rPr>
            </w:pPr>
            <w:r w:rsidRPr="00955E83">
              <w:rPr>
                <w:rFonts w:ascii="Courier New" w:eastAsia="MS Gothic" w:hAnsi="Courier New" w:cs="Courier New"/>
                <w:lang w:val="bg-BG"/>
              </w:rPr>
              <w:t>☐</w:t>
            </w:r>
          </w:p>
        </w:tc>
        <w:tc>
          <w:tcPr>
            <w:tcW w:w="5922" w:type="dxa"/>
          </w:tcPr>
          <w:p w:rsidR="00994785" w:rsidRPr="00955E83" w:rsidRDefault="00994785" w:rsidP="001E406C">
            <w:pPr>
              <w:spacing w:after="120" w:line="240" w:lineRule="auto"/>
              <w:rPr>
                <w:lang w:val="bg-BG"/>
              </w:rPr>
            </w:pPr>
          </w:p>
        </w:tc>
        <w:tc>
          <w:tcPr>
            <w:tcW w:w="2832" w:type="dxa"/>
          </w:tcPr>
          <w:p w:rsidR="00994785" w:rsidRPr="00955E83" w:rsidRDefault="00994785" w:rsidP="001E406C">
            <w:pPr>
              <w:spacing w:after="120" w:line="240" w:lineRule="auto"/>
              <w:rPr>
                <w:lang w:val="bg-BG"/>
              </w:rPr>
            </w:pPr>
          </w:p>
        </w:tc>
      </w:tr>
      <w:tr w:rsidR="00955E83" w:rsidRPr="00955E83" w:rsidTr="001E406C">
        <w:tc>
          <w:tcPr>
            <w:tcW w:w="426" w:type="dxa"/>
            <w:shd w:val="clear" w:color="auto" w:fill="FFEEB7"/>
          </w:tcPr>
          <w:p w:rsidR="00994785" w:rsidRPr="00955E83" w:rsidRDefault="00994785" w:rsidP="001E406C">
            <w:pPr>
              <w:spacing w:after="120" w:line="240" w:lineRule="auto"/>
              <w:rPr>
                <w:lang w:val="bg-BG"/>
              </w:rPr>
            </w:pPr>
            <w:r w:rsidRPr="00955E83">
              <w:rPr>
                <w:rFonts w:ascii="Courier New" w:eastAsia="MS Gothic" w:hAnsi="Courier New" w:cs="Courier New"/>
                <w:lang w:val="bg-BG"/>
              </w:rPr>
              <w:t>☐</w:t>
            </w:r>
          </w:p>
        </w:tc>
        <w:tc>
          <w:tcPr>
            <w:tcW w:w="5922" w:type="dxa"/>
            <w:shd w:val="clear" w:color="auto" w:fill="FFEEB7"/>
          </w:tcPr>
          <w:p w:rsidR="00994785" w:rsidRPr="00955E83" w:rsidRDefault="00994785" w:rsidP="001E406C">
            <w:pPr>
              <w:spacing w:after="120" w:line="240" w:lineRule="auto"/>
              <w:rPr>
                <w:lang w:val="bg-BG"/>
              </w:rPr>
            </w:pPr>
          </w:p>
        </w:tc>
        <w:tc>
          <w:tcPr>
            <w:tcW w:w="2832" w:type="dxa"/>
            <w:shd w:val="clear" w:color="auto" w:fill="FFEEB7"/>
          </w:tcPr>
          <w:p w:rsidR="00994785" w:rsidRPr="00955E83" w:rsidRDefault="00994785" w:rsidP="001E406C">
            <w:pPr>
              <w:spacing w:after="120" w:line="240" w:lineRule="auto"/>
              <w:rPr>
                <w:lang w:val="bg-BG"/>
              </w:rPr>
            </w:pPr>
          </w:p>
        </w:tc>
      </w:tr>
    </w:tbl>
    <w:p w:rsidR="00994785" w:rsidRPr="00955E83" w:rsidRDefault="00994785" w:rsidP="0070336A">
      <w:pPr>
        <w:spacing w:after="120"/>
        <w:ind w:left="792"/>
        <w:rPr>
          <w:lang w:val="bg-BG"/>
        </w:rPr>
      </w:pPr>
      <w:r w:rsidRPr="00955E83">
        <w:rPr>
          <w:lang w:val="bg-BG"/>
        </w:rPr>
        <w:t xml:space="preserve"> </w:t>
      </w:r>
    </w:p>
    <w:p w:rsidR="00994785" w:rsidRPr="00955E83" w:rsidRDefault="00994785" w:rsidP="0070336A">
      <w:pPr>
        <w:spacing w:after="120"/>
        <w:ind w:left="360"/>
        <w:rPr>
          <w:lang w:val="bg-BG"/>
        </w:rPr>
      </w:pPr>
      <w:r w:rsidRPr="00955E83">
        <w:rPr>
          <w:lang w:val="bg-BG"/>
        </w:rPr>
        <w:t>Форматиране на представянето при избора на серии да бъде направено по подходящ начин, така че визуално да се разделят колоните и редовете.</w:t>
      </w:r>
    </w:p>
    <w:p w:rsidR="00994785" w:rsidRPr="00955E83" w:rsidRDefault="00994785" w:rsidP="0070336A">
      <w:pPr>
        <w:spacing w:after="120"/>
        <w:ind w:left="360"/>
        <w:rPr>
          <w:lang w:val="bg-BG"/>
        </w:rPr>
      </w:pPr>
    </w:p>
    <w:p w:rsidR="00994785" w:rsidRPr="00955E83" w:rsidRDefault="00994785" w:rsidP="00EB1411">
      <w:pPr>
        <w:pStyle w:val="ListParagraph"/>
        <w:numPr>
          <w:ilvl w:val="3"/>
          <w:numId w:val="17"/>
        </w:numPr>
        <w:spacing w:after="120"/>
        <w:rPr>
          <w:lang w:val="bg-BG"/>
        </w:rPr>
      </w:pPr>
      <w:r w:rsidRPr="00955E83">
        <w:rPr>
          <w:lang w:val="bg-BG"/>
        </w:rPr>
        <w:t xml:space="preserve">Визуализация на SDMX ключовете при представянето на данните в отделна колона/ред след колоната/реда със заглавията на сериите. </w:t>
      </w:r>
    </w:p>
    <w:p w:rsidR="00994785" w:rsidRPr="00955E83" w:rsidRDefault="00994785" w:rsidP="0070336A">
      <w:pPr>
        <w:spacing w:after="120"/>
        <w:ind w:left="360"/>
        <w:rPr>
          <w:lang w:val="bg-BG"/>
        </w:rPr>
      </w:pPr>
      <w:r w:rsidRPr="00955E83">
        <w:rPr>
          <w:lang w:val="bg-BG"/>
        </w:rPr>
        <w:t xml:space="preserve">SDMX ключът сe състои от кода на DSI и кодовете по дименсии. Кодовете следва да са разделени с точка(.). </w:t>
      </w:r>
    </w:p>
    <w:p w:rsidR="00994785" w:rsidRPr="00955E83" w:rsidRDefault="00994785" w:rsidP="0070336A">
      <w:pPr>
        <w:spacing w:after="120"/>
        <w:ind w:left="360"/>
        <w:rPr>
          <w:lang w:val="bg-BG"/>
        </w:rPr>
      </w:pPr>
      <w:r w:rsidRPr="00955E83">
        <w:rPr>
          <w:lang w:val="bg-BG"/>
        </w:rPr>
        <w:t>Пример:</w:t>
      </w:r>
    </w:p>
    <w:p w:rsidR="00994785" w:rsidRPr="00955E83" w:rsidRDefault="00994785" w:rsidP="0070336A">
      <w:pPr>
        <w:spacing w:after="120"/>
        <w:ind w:left="360"/>
        <w:rPr>
          <w:lang w:val="bg-BG"/>
        </w:rPr>
      </w:pPr>
      <w:r w:rsidRPr="00955E83">
        <w:rPr>
          <w:lang w:val="bg-BG"/>
        </w:rPr>
        <w:t>BOP_BPM6.M.N.BG.B5.S1.S1.T.A.FA._T.F._Z.BGN._T._X.N</w:t>
      </w:r>
    </w:p>
    <w:p w:rsidR="00994785" w:rsidRPr="00955E83" w:rsidRDefault="00994785" w:rsidP="0070336A">
      <w:pPr>
        <w:spacing w:after="120"/>
        <w:ind w:left="360"/>
        <w:rPr>
          <w:lang w:val="bg-BG"/>
        </w:rPr>
      </w:pPr>
      <w:r w:rsidRPr="00955E83">
        <w:rPr>
          <w:lang w:val="bg-BG"/>
        </w:rPr>
        <w:t>Ключът да се визуализира при изтеглянето на данни във всички формати от статистическата база данни (XLS, PDF, XML и CSV). В тези формати SDMX ключът да се извлича по същия начин в колоната/реда след  заглавията на сериите.</w:t>
      </w:r>
    </w:p>
    <w:p w:rsidR="00994785" w:rsidRPr="00955E83" w:rsidRDefault="00994785" w:rsidP="00E2736C">
      <w:pPr>
        <w:ind w:left="360"/>
        <w:rPr>
          <w:lang w:val="bg-BG"/>
        </w:rPr>
      </w:pPr>
      <w:r w:rsidRPr="00955E83">
        <w:rPr>
          <w:lang w:val="bg-BG"/>
        </w:rPr>
        <w:t>SDMX ключът да се визуализира в обобщената таблица, която е преди филтрите в Статистическата база данни, но да не се визуализира в предефинираните справки.</w:t>
      </w:r>
    </w:p>
    <w:p w:rsidR="00994785" w:rsidRPr="00955E83" w:rsidRDefault="00994785" w:rsidP="00EB1411">
      <w:pPr>
        <w:pStyle w:val="ListParagraph"/>
        <w:numPr>
          <w:ilvl w:val="3"/>
          <w:numId w:val="17"/>
        </w:numPr>
        <w:spacing w:after="120"/>
        <w:rPr>
          <w:lang w:val="bg-BG"/>
        </w:rPr>
      </w:pPr>
      <w:r w:rsidRPr="00955E83">
        <w:rPr>
          <w:lang w:val="bg-BG"/>
        </w:rPr>
        <w:t xml:space="preserve">Възможност за създаване на предефинирани справки чрез шаблон в Excel, при които показателите са развити вертикално в лява антетка, а </w:t>
      </w:r>
      <w:r w:rsidRPr="00955E83">
        <w:rPr>
          <w:lang w:val="bg-BG"/>
        </w:rPr>
        <w:lastRenderedPageBreak/>
        <w:t>периодите са хоризонтално и с увеличаването на периодите се добавят нови колони.</w:t>
      </w:r>
    </w:p>
    <w:p w:rsidR="00994785" w:rsidRPr="00955E83" w:rsidRDefault="00994785" w:rsidP="00CF4264">
      <w:pPr>
        <w:pStyle w:val="Heading3"/>
        <w:numPr>
          <w:ilvl w:val="2"/>
          <w:numId w:val="17"/>
        </w:numPr>
        <w:rPr>
          <w:lang w:val="bg-BG"/>
        </w:rPr>
      </w:pPr>
      <w:bookmarkStart w:id="9" w:name="_Toc522710107"/>
      <w:r w:rsidRPr="00955E83">
        <w:rPr>
          <w:lang w:val="bg-BG"/>
        </w:rPr>
        <w:t>Премахване на скролирането при избора на сериите в статистическата база данни</w:t>
      </w:r>
      <w:bookmarkEnd w:id="9"/>
    </w:p>
    <w:p w:rsidR="00994785" w:rsidRPr="00955E83" w:rsidRDefault="00994785" w:rsidP="005A27B1">
      <w:pPr>
        <w:pStyle w:val="ListParagraph"/>
        <w:numPr>
          <w:ilvl w:val="3"/>
          <w:numId w:val="17"/>
        </w:numPr>
        <w:spacing w:after="120"/>
        <w:rPr>
          <w:lang w:val="bg-BG"/>
        </w:rPr>
      </w:pPr>
      <w:r w:rsidRPr="00955E83">
        <w:rPr>
          <w:lang w:val="bg-BG"/>
        </w:rPr>
        <w:t xml:space="preserve">Премахване на скролирането при избора на сериите и разтягане на съдържанието надолу в страницата. </w:t>
      </w:r>
    </w:p>
    <w:p w:rsidR="00994785" w:rsidRPr="00955E83" w:rsidRDefault="00994785" w:rsidP="005A27B1">
      <w:pPr>
        <w:pStyle w:val="ListParagraph"/>
        <w:numPr>
          <w:ilvl w:val="3"/>
          <w:numId w:val="17"/>
        </w:numPr>
        <w:spacing w:after="120"/>
        <w:rPr>
          <w:lang w:val="bg-BG"/>
        </w:rPr>
      </w:pPr>
      <w:r w:rsidRPr="00955E83">
        <w:rPr>
          <w:lang w:val="bg-BG"/>
        </w:rPr>
        <w:t xml:space="preserve">В тази връзка е необходимо бутонът </w:t>
      </w:r>
      <w:r w:rsidRPr="00955E83">
        <w:rPr>
          <w:i/>
          <w:lang w:val="bg-BG"/>
        </w:rPr>
        <w:t>Покажи избраните</w:t>
      </w:r>
      <w:r w:rsidRPr="00955E83">
        <w:rPr>
          <w:lang w:val="bg-BG"/>
        </w:rPr>
        <w:t xml:space="preserve"> да се позиционира над таблицата със заглавията на сериите. </w:t>
      </w:r>
    </w:p>
    <w:p w:rsidR="00994785" w:rsidRPr="00955E83" w:rsidRDefault="00994785" w:rsidP="005A27B1">
      <w:pPr>
        <w:pStyle w:val="ListParagraph"/>
        <w:numPr>
          <w:ilvl w:val="3"/>
          <w:numId w:val="17"/>
        </w:numPr>
        <w:spacing w:after="120"/>
        <w:rPr>
          <w:lang w:val="bg-BG"/>
        </w:rPr>
      </w:pPr>
      <w:r w:rsidRPr="00955E83">
        <w:rPr>
          <w:lang w:val="bg-BG"/>
        </w:rPr>
        <w:t xml:space="preserve">За удобство на потребителите  до бутона </w:t>
      </w:r>
      <w:r w:rsidRPr="00955E83">
        <w:rPr>
          <w:i/>
          <w:lang w:val="bg-BG"/>
        </w:rPr>
        <w:t>Покажи избраните</w:t>
      </w:r>
      <w:r w:rsidRPr="00955E83">
        <w:rPr>
          <w:lang w:val="bg-BG"/>
        </w:rPr>
        <w:t xml:space="preserve"> следва да се изписва броят на избраните серии.</w:t>
      </w:r>
    </w:p>
    <w:p w:rsidR="00994785" w:rsidRPr="00955E83" w:rsidRDefault="00994785" w:rsidP="00CF4264">
      <w:pPr>
        <w:pStyle w:val="Heading3"/>
        <w:numPr>
          <w:ilvl w:val="2"/>
          <w:numId w:val="17"/>
        </w:numPr>
        <w:rPr>
          <w:lang w:val="bg-BG"/>
        </w:rPr>
      </w:pPr>
      <w:bookmarkStart w:id="10" w:name="_Toc522710108"/>
      <w:r w:rsidRPr="00955E83">
        <w:rPr>
          <w:lang w:val="bg-BG"/>
        </w:rPr>
        <w:t>Възможност да се показват в една предефинирана таблица данни от различни Key Families и DSI</w:t>
      </w:r>
      <w:bookmarkEnd w:id="10"/>
    </w:p>
    <w:p w:rsidR="00994785" w:rsidRPr="00955E83" w:rsidRDefault="00994785" w:rsidP="00D34BB3">
      <w:pPr>
        <w:spacing w:after="120"/>
        <w:ind w:left="360"/>
        <w:rPr>
          <w:lang w:val="bg-BG"/>
        </w:rPr>
      </w:pPr>
      <w:r w:rsidRPr="00955E83">
        <w:rPr>
          <w:lang w:val="bg-BG"/>
        </w:rPr>
        <w:t>Функционалността за създаване на предефинирана справка чрез текстов файл да се промени, за да може да се зареждат данни от повече от една Key Family, като се вкара поле за определяне на Key Family, в което няколко Key Family да могат да се изреждат със запетая. Полето за DSI също да има възможност в него да бъдат изреждани няколко DSI, разделени със запетая.</w:t>
      </w:r>
    </w:p>
    <w:p w:rsidR="00994785" w:rsidRPr="00955E83" w:rsidRDefault="00994785" w:rsidP="00CF4264">
      <w:pPr>
        <w:pStyle w:val="Heading3"/>
        <w:numPr>
          <w:ilvl w:val="2"/>
          <w:numId w:val="17"/>
        </w:numPr>
        <w:rPr>
          <w:lang w:val="bg-BG"/>
        </w:rPr>
      </w:pPr>
      <w:bookmarkStart w:id="11" w:name="_Toc522710109"/>
      <w:r w:rsidRPr="00955E83">
        <w:rPr>
          <w:lang w:val="bg-BG"/>
        </w:rPr>
        <w:t>Извличане на данните от предефинираните таблици в общ Excel файл.</w:t>
      </w:r>
      <w:bookmarkEnd w:id="11"/>
    </w:p>
    <w:p w:rsidR="00994785" w:rsidRPr="00955E83" w:rsidRDefault="005A27B1" w:rsidP="00D34BB3">
      <w:pPr>
        <w:spacing w:after="120"/>
        <w:ind w:left="360"/>
        <w:rPr>
          <w:lang w:val="bg-BG"/>
        </w:rPr>
      </w:pPr>
      <w:r w:rsidRPr="00955E83">
        <w:rPr>
          <w:lang w:val="bg-BG"/>
        </w:rPr>
        <w:t xml:space="preserve">В </w:t>
      </w:r>
      <w:r w:rsidR="00994785" w:rsidRPr="00955E83">
        <w:rPr>
          <w:lang w:val="bg-BG"/>
        </w:rPr>
        <w:t>момента няколко статистики се подготвят като в Excel файл, се събират данни от таблици, включвани като отделни sheet-ове. Необходимо е за предефинираните таблици да се осигури автоматичното създаване на такъв обобщен файл, който да съдържа всички предефинирани таблици за тази страница в отделни sheet-ове.  Тази таблица да бъде без визуализация в html. Мястото й да се определя с пореден номер  аналогично на останалите предефинирани таблици.</w:t>
      </w:r>
    </w:p>
    <w:p w:rsidR="00994785" w:rsidRPr="00955E83" w:rsidRDefault="00994785" w:rsidP="00CF4264">
      <w:pPr>
        <w:pStyle w:val="Heading3"/>
        <w:numPr>
          <w:ilvl w:val="2"/>
          <w:numId w:val="17"/>
        </w:numPr>
        <w:rPr>
          <w:lang w:val="bg-BG"/>
        </w:rPr>
      </w:pPr>
      <w:bookmarkStart w:id="12" w:name="_Toc522710110"/>
      <w:r w:rsidRPr="00955E83">
        <w:rPr>
          <w:lang w:val="bg-BG"/>
        </w:rPr>
        <w:t>Обобщени справки</w:t>
      </w:r>
      <w:bookmarkEnd w:id="12"/>
    </w:p>
    <w:p w:rsidR="00994785" w:rsidRPr="00955E83" w:rsidRDefault="00994785" w:rsidP="00D34BB3">
      <w:pPr>
        <w:spacing w:after="120"/>
        <w:ind w:left="360"/>
        <w:rPr>
          <w:lang w:val="bg-BG"/>
        </w:rPr>
      </w:pPr>
      <w:r w:rsidRPr="00955E83">
        <w:rPr>
          <w:lang w:val="bg-BG"/>
        </w:rPr>
        <w:t xml:space="preserve">Преди филтрите в Статистическата база данни обобщената справка, съдържаща всички серии в </w:t>
      </w:r>
      <w:r w:rsidR="00AC2085">
        <w:rPr>
          <w:lang w:val="bg-BG"/>
        </w:rPr>
        <w:t>базата данни (</w:t>
      </w:r>
      <w:r w:rsidRPr="00955E83">
        <w:rPr>
          <w:lang w:val="bg-BG"/>
        </w:rPr>
        <w:t>БД</w:t>
      </w:r>
      <w:r w:rsidR="00AC2085">
        <w:rPr>
          <w:lang w:val="bg-BG"/>
        </w:rPr>
        <w:t>)</w:t>
      </w:r>
      <w:r w:rsidRPr="00955E83">
        <w:rPr>
          <w:lang w:val="bg-BG"/>
        </w:rPr>
        <w:t xml:space="preserve">, да може да бъде повече от една за един </w:t>
      </w:r>
      <w:bookmarkStart w:id="13" w:name="_GoBack"/>
      <w:r w:rsidRPr="00955E83">
        <w:rPr>
          <w:lang w:val="bg-BG"/>
        </w:rPr>
        <w:t>DSI</w:t>
      </w:r>
      <w:bookmarkEnd w:id="13"/>
      <w:r w:rsidRPr="00955E83">
        <w:rPr>
          <w:lang w:val="bg-BG"/>
        </w:rPr>
        <w:t xml:space="preserve"> и да се подреждат с пореден номер като предефинираните справки. </w:t>
      </w:r>
    </w:p>
    <w:p w:rsidR="00994785" w:rsidRPr="00955E83" w:rsidRDefault="00994785" w:rsidP="00D34BB3">
      <w:pPr>
        <w:spacing w:after="120"/>
        <w:ind w:left="360"/>
        <w:rPr>
          <w:lang w:val="bg-BG"/>
        </w:rPr>
      </w:pPr>
      <w:r w:rsidRPr="00955E83">
        <w:rPr>
          <w:lang w:val="bg-BG"/>
        </w:rPr>
        <w:t>В тази таблица да се добави след колоната със заглавията на сериите и колона със SDMX ключовете на сериите, които се състоят от дименсиите, разделени с точка.</w:t>
      </w:r>
    </w:p>
    <w:p w:rsidR="00994785" w:rsidRPr="00955E83" w:rsidRDefault="00994785" w:rsidP="005A27B1">
      <w:pPr>
        <w:pStyle w:val="Heading2"/>
        <w:numPr>
          <w:ilvl w:val="1"/>
          <w:numId w:val="17"/>
        </w:numPr>
        <w:rPr>
          <w:lang w:val="bg-BG"/>
        </w:rPr>
      </w:pPr>
      <w:bookmarkStart w:id="14" w:name="_Toc522710111"/>
      <w:r w:rsidRPr="00955E83">
        <w:rPr>
          <w:lang w:val="bg-BG"/>
        </w:rPr>
        <w:t>Промени, свързани с оптимизиране на предоставянето на информация</w:t>
      </w:r>
      <w:bookmarkEnd w:id="14"/>
    </w:p>
    <w:p w:rsidR="00994785" w:rsidRPr="00955E83" w:rsidRDefault="00994785" w:rsidP="005A27B1">
      <w:pPr>
        <w:pStyle w:val="Heading3"/>
        <w:numPr>
          <w:ilvl w:val="2"/>
          <w:numId w:val="17"/>
        </w:numPr>
        <w:rPr>
          <w:lang w:val="bg-BG"/>
        </w:rPr>
      </w:pPr>
      <w:bookmarkStart w:id="15" w:name="_Toc522710112"/>
      <w:r w:rsidRPr="00955E83">
        <w:rPr>
          <w:lang w:val="bg-BG"/>
        </w:rPr>
        <w:t>Технически мерки за сигурността на данните</w:t>
      </w:r>
      <w:bookmarkEnd w:id="15"/>
    </w:p>
    <w:p w:rsidR="00994785" w:rsidRPr="00955E83" w:rsidRDefault="00994785" w:rsidP="007277A7">
      <w:pPr>
        <w:rPr>
          <w:lang w:val="bg-BG"/>
        </w:rPr>
      </w:pPr>
      <w:r w:rsidRPr="00955E83">
        <w:rPr>
          <w:lang w:val="bg-BG"/>
        </w:rPr>
        <w:t xml:space="preserve">Да се приложат допълнителни технически мерки за сигурността на данните, предоставени от кандидати за работа или стаж в БНБ, както и кандидати за получаване на стипендия на БНБ, с оглед спазването на изискванията, посочени в Регламент (ЕС) 2016/679 на Европейския парламент и Съвета от 26 април 2016 година във връзка с </w:t>
      </w:r>
      <w:r w:rsidRPr="00955E83">
        <w:rPr>
          <w:lang w:val="bg-BG"/>
        </w:rPr>
        <w:lastRenderedPageBreak/>
        <w:t>обработването на лични данни и относно свободното движение на такива данни и за отмяна на Директива 95/46/ЕО (Общ регламент относно защитата на личните данни).</w:t>
      </w:r>
    </w:p>
    <w:p w:rsidR="00994785" w:rsidRPr="00955E83" w:rsidRDefault="00994785" w:rsidP="007277A7">
      <w:pPr>
        <w:rPr>
          <w:lang w:val="bg-BG"/>
        </w:rPr>
      </w:pPr>
      <w:r w:rsidRPr="00955E83">
        <w:rPr>
          <w:lang w:val="bg-BG"/>
        </w:rPr>
        <w:t>Данните, събирани при попълване на формуляри за кандидатстване за работа, стаж и стипендии, отпускани от БНБ и съхранявани временно на сървърите на страницата трябва да бъдат кодирани по начин, позволяващ достъпа до тях само от оторизирани лица. Крайни получатели на данните са служителите на дирекция „Управление на човешките ресурси“, а останалите служители работещи със сървърите не трябва да имат достъп до тях.</w:t>
      </w:r>
    </w:p>
    <w:p w:rsidR="00994785" w:rsidRPr="00955E83" w:rsidRDefault="00994785" w:rsidP="00EC1319">
      <w:pPr>
        <w:pStyle w:val="Heading3"/>
        <w:numPr>
          <w:ilvl w:val="2"/>
          <w:numId w:val="17"/>
        </w:numPr>
        <w:rPr>
          <w:lang w:val="bg-BG"/>
        </w:rPr>
      </w:pPr>
      <w:bookmarkStart w:id="16" w:name="_Toc522710113"/>
      <w:r w:rsidRPr="00955E83">
        <w:rPr>
          <w:lang w:val="bg-BG"/>
        </w:rPr>
        <w:t>Създаване на интернет страница за съпоставяне на такси</w:t>
      </w:r>
      <w:bookmarkEnd w:id="16"/>
    </w:p>
    <w:p w:rsidR="00994785" w:rsidRPr="00955E83" w:rsidRDefault="00994785" w:rsidP="00021202">
      <w:pPr>
        <w:rPr>
          <w:lang w:val="bg-BG"/>
        </w:rPr>
      </w:pPr>
      <w:r w:rsidRPr="00955E83">
        <w:rPr>
          <w:lang w:val="bg-BG"/>
        </w:rPr>
        <w:t xml:space="preserve">Като допълнителна функционалност към съществуващата интернет страница на БНБ трябва да бъде създадена страница за съпоставяне на такси. </w:t>
      </w:r>
    </w:p>
    <w:p w:rsidR="00994785" w:rsidRPr="00955E83" w:rsidRDefault="00994785" w:rsidP="00EC1319">
      <w:pPr>
        <w:pStyle w:val="Heading3"/>
        <w:ind w:firstLine="708"/>
        <w:rPr>
          <w:lang w:val="bg-BG"/>
        </w:rPr>
      </w:pPr>
      <w:bookmarkStart w:id="17" w:name="_Toc522710114"/>
      <w:r w:rsidRPr="00955E83">
        <w:rPr>
          <w:lang w:val="bg-BG"/>
        </w:rPr>
        <w:t>Основание за проекта</w:t>
      </w:r>
      <w:bookmarkEnd w:id="17"/>
    </w:p>
    <w:p w:rsidR="00994785" w:rsidRPr="00955E83" w:rsidRDefault="00994785" w:rsidP="00021202">
      <w:pPr>
        <w:rPr>
          <w:lang w:val="bg-BG"/>
        </w:rPr>
      </w:pPr>
      <w:r w:rsidRPr="00955E83">
        <w:rPr>
          <w:lang w:val="bg-BG"/>
        </w:rPr>
        <w:t>На основание чл. 109, ал. 3 от Закона за платежните услуги и платежните системи (ЗПУПС), БНБ поддържа интернет страница за съпоставяне на таксите, налагани от доставчиците на платежни услуги на потребители за предоставяне на услугите, включени в националния списък на най-представителните услуги, свързани с платежна сметка по чл. 102 от същия закон. Законово вмененото задължение на БНБ произтича от Директива 2014/92/ЕС относно съпоставимостта на таксите по платежните сметки, прехвърлянето на платежни сметки и достъпа до платежни сметки за основни операции.</w:t>
      </w:r>
    </w:p>
    <w:p w:rsidR="00994785" w:rsidRPr="00955E83" w:rsidRDefault="005B6ABE" w:rsidP="00021202">
      <w:pPr>
        <w:rPr>
          <w:lang w:val="bg-BG"/>
        </w:rPr>
      </w:pPr>
      <w:r w:rsidRPr="00E75A5B">
        <w:t xml:space="preserve">Нормативните изисквания в ЗПУПС относно интернет страницата за съпоставяне на таксите, поддържана от БНБ, са </w:t>
      </w:r>
      <w:r w:rsidRPr="00E75A5B">
        <w:rPr>
          <w:lang w:val="bg-BG"/>
        </w:rPr>
        <w:t xml:space="preserve">допълнително </w:t>
      </w:r>
      <w:r w:rsidRPr="00E75A5B">
        <w:t xml:space="preserve">конкретизирани в </w:t>
      </w:r>
      <w:r w:rsidRPr="00E75A5B">
        <w:rPr>
          <w:lang w:val="bg-BG"/>
        </w:rPr>
        <w:t>чл. 41 – 4</w:t>
      </w:r>
      <w:r>
        <w:rPr>
          <w:lang w:val="bg-BG"/>
        </w:rPr>
        <w:t>4</w:t>
      </w:r>
      <w:r w:rsidRPr="00E75A5B">
        <w:rPr>
          <w:lang w:val="bg-BG"/>
        </w:rPr>
        <w:t xml:space="preserve"> от </w:t>
      </w:r>
      <w:r w:rsidRPr="00E75A5B">
        <w:t>Наредба № 3 на БНБ от 18 април 2018 г. за условията и реда за откриване на платежни сметки, за изпълнение на платежни операции и за използване на платежни инструменти (Наредба № 3 на БНБ) и в Указание по Наредба № 3 на БНБ за формата и съдържанието на информацията, подавана от доставчиците на платежни услуги за целите на интернет страницата за съпоставяне на такси, поддържана от БНБ</w:t>
      </w:r>
      <w:r>
        <w:t xml:space="preserve"> (</w:t>
      </w:r>
      <w:r>
        <w:rPr>
          <w:lang w:val="bg-BG"/>
        </w:rPr>
        <w:t xml:space="preserve">което ще бъде актуализирано във връзка с изграждането на интерактивна </w:t>
      </w:r>
      <w:r>
        <w:t>интернет страница</w:t>
      </w:r>
      <w:r w:rsidRPr="00E75A5B">
        <w:t xml:space="preserve"> за съпоставяне на таксите</w:t>
      </w:r>
      <w:r>
        <w:t>)</w:t>
      </w:r>
      <w:r w:rsidRPr="00E75A5B">
        <w:t>.</w:t>
      </w:r>
    </w:p>
    <w:p w:rsidR="00994785" w:rsidRPr="00955E83" w:rsidRDefault="00994785" w:rsidP="00EC1319">
      <w:pPr>
        <w:pStyle w:val="Heading3"/>
        <w:ind w:firstLine="708"/>
        <w:rPr>
          <w:lang w:val="bg-BG"/>
        </w:rPr>
      </w:pPr>
      <w:bookmarkStart w:id="18" w:name="_Toc522710115"/>
      <w:r w:rsidRPr="00955E83">
        <w:rPr>
          <w:lang w:val="bg-BG"/>
        </w:rPr>
        <w:t>Срок за създаване и пускане в експлоатация</w:t>
      </w:r>
      <w:bookmarkEnd w:id="18"/>
      <w:r w:rsidRPr="00955E83">
        <w:rPr>
          <w:lang w:val="bg-BG"/>
        </w:rPr>
        <w:t xml:space="preserve">  </w:t>
      </w:r>
    </w:p>
    <w:p w:rsidR="00994785" w:rsidRPr="00955E83" w:rsidRDefault="00B64BDD" w:rsidP="005B6ABE">
      <w:pPr>
        <w:rPr>
          <w:lang w:val="bg-BG"/>
        </w:rPr>
      </w:pPr>
      <w:r>
        <w:rPr>
          <w:lang w:val="bg-BG"/>
        </w:rPr>
        <w:t>Д</w:t>
      </w:r>
      <w:r w:rsidR="00994785" w:rsidRPr="00955E83">
        <w:rPr>
          <w:lang w:val="bg-BG"/>
        </w:rPr>
        <w:t xml:space="preserve">опълнителната функционалност за съпоставяне на такси трябва да бъде реализирана най-късно до </w:t>
      </w:r>
      <w:r w:rsidR="009D141D">
        <w:t xml:space="preserve">30 </w:t>
      </w:r>
      <w:r w:rsidR="009D141D" w:rsidRPr="002451D5">
        <w:rPr>
          <w:lang w:val="bg-BG"/>
        </w:rPr>
        <w:t xml:space="preserve"> </w:t>
      </w:r>
      <w:r w:rsidR="002451D5" w:rsidRPr="002451D5">
        <w:rPr>
          <w:lang w:val="bg-BG"/>
        </w:rPr>
        <w:t xml:space="preserve">календарни дни след </w:t>
      </w:r>
      <w:r w:rsidR="002451D5">
        <w:rPr>
          <w:lang w:val="bg-BG"/>
        </w:rPr>
        <w:t>подписване</w:t>
      </w:r>
      <w:r w:rsidR="002451D5" w:rsidRPr="002451D5">
        <w:rPr>
          <w:lang w:val="bg-BG"/>
        </w:rPr>
        <w:t xml:space="preserve"> на договора</w:t>
      </w:r>
      <w:r w:rsidR="00994785" w:rsidRPr="00955E83">
        <w:rPr>
          <w:lang w:val="bg-BG"/>
        </w:rPr>
        <w:t>.</w:t>
      </w:r>
    </w:p>
    <w:p w:rsidR="00994785" w:rsidRPr="00955E83" w:rsidRDefault="00994785" w:rsidP="00EC1319">
      <w:pPr>
        <w:pStyle w:val="Heading3"/>
        <w:ind w:firstLine="708"/>
        <w:rPr>
          <w:lang w:val="bg-BG"/>
        </w:rPr>
      </w:pPr>
      <w:bookmarkStart w:id="19" w:name="_Toc522710116"/>
      <w:r w:rsidRPr="00955E83">
        <w:rPr>
          <w:lang w:val="bg-BG"/>
        </w:rPr>
        <w:t>Отчетни единици и услуги</w:t>
      </w:r>
      <w:bookmarkEnd w:id="19"/>
    </w:p>
    <w:p w:rsidR="005B6ABE" w:rsidRDefault="005C6359" w:rsidP="00021202">
      <w:r>
        <w:rPr>
          <w:lang w:val="bg-BG"/>
        </w:rPr>
        <w:t>Д</w:t>
      </w:r>
      <w:r w:rsidR="005B6ABE" w:rsidRPr="008C2A46">
        <w:rPr>
          <w:lang w:val="bg-BG"/>
        </w:rPr>
        <w:t>оставчиците на платежни услуги са 36 на брой (21 банки, лицензирани от БНБ, 5 клона на чуждестранни банки, извършващи дейност на територията на страната, 7 платежни институции и 3 дружества за електронни пари). За целите на интернет страницата за съпоставяне на таксите за услугите, свързани с платежна сметка, доставчиците, които подават информация към момента са 29 на брой (2</w:t>
      </w:r>
      <w:r w:rsidR="005B6ABE">
        <w:t>0</w:t>
      </w:r>
      <w:r w:rsidR="005B6ABE" w:rsidRPr="008C2A46">
        <w:rPr>
          <w:lang w:val="bg-BG"/>
        </w:rPr>
        <w:t xml:space="preserve"> банки, лицензирани от БНБ, </w:t>
      </w:r>
      <w:r w:rsidR="005B6ABE">
        <w:t>2</w:t>
      </w:r>
      <w:r w:rsidR="005B6ABE" w:rsidRPr="008C2A46">
        <w:rPr>
          <w:lang w:val="bg-BG"/>
        </w:rPr>
        <w:t xml:space="preserve"> клон</w:t>
      </w:r>
      <w:r w:rsidR="005B6ABE">
        <w:rPr>
          <w:lang w:val="bg-BG"/>
        </w:rPr>
        <w:t>а на чуждестранни банки</w:t>
      </w:r>
      <w:r w:rsidR="005B6ABE" w:rsidRPr="008C2A46">
        <w:rPr>
          <w:lang w:val="bg-BG"/>
        </w:rPr>
        <w:t>, извършващ</w:t>
      </w:r>
      <w:r w:rsidR="005B6ABE">
        <w:rPr>
          <w:lang w:val="bg-BG"/>
        </w:rPr>
        <w:t>и</w:t>
      </w:r>
      <w:r w:rsidR="005B6ABE" w:rsidRPr="008C2A46">
        <w:rPr>
          <w:lang w:val="bg-BG"/>
        </w:rPr>
        <w:t xml:space="preserve"> дейност на </w:t>
      </w:r>
      <w:r w:rsidR="005B6ABE" w:rsidRPr="008C2A46">
        <w:rPr>
          <w:lang w:val="bg-BG"/>
        </w:rPr>
        <w:lastRenderedPageBreak/>
        <w:t>територията</w:t>
      </w:r>
      <w:r w:rsidR="005B6ABE">
        <w:t xml:space="preserve"> </w:t>
      </w:r>
      <w:r w:rsidR="005B6ABE" w:rsidRPr="008C2A46">
        <w:rPr>
          <w:lang w:val="bg-BG"/>
        </w:rPr>
        <w:t>на страната, 4 платежни институции и 3 дружества за електронни пари), като този брой може да варира в бъдеще.</w:t>
      </w:r>
      <w:r w:rsidR="005B6ABE">
        <w:t xml:space="preserve"> </w:t>
      </w:r>
    </w:p>
    <w:p w:rsidR="005B6ABE" w:rsidRDefault="005B6ABE" w:rsidP="005B6ABE">
      <w:pPr>
        <w:rPr>
          <w:lang w:val="bg-BG"/>
        </w:rPr>
      </w:pPr>
      <w:r w:rsidRPr="008C2A46">
        <w:rPr>
          <w:lang w:val="bg-BG"/>
        </w:rPr>
        <w:t>Информация се подава за 18 услуги и техните разновидности (в зависимост от канала на поискване, използване или предоставяне, както и при различни случаи на начисляване на такса за предоставянето на услугата, или в зависимост от това, дали за една и съща услуга е изпълнено или съществува конкретно условие). Услугите и техните разновидности са описани в Указание по Наредба № 3 на БНБ за формата и съдържанието на информацията, подавана  от доставчиците на платежни услуги  за целите на интернет страницата за съпоставяне  на такси, поддържана от БНБ.</w:t>
      </w:r>
    </w:p>
    <w:p w:rsidR="005B6ABE" w:rsidRDefault="005B6ABE" w:rsidP="005B6ABE">
      <w:r w:rsidRPr="008A65D9">
        <w:rPr>
          <w:lang w:val="bg-BG"/>
        </w:rPr>
        <w:t xml:space="preserve">Доставчиците на платежни услуги </w:t>
      </w:r>
      <w:r w:rsidR="00100511">
        <w:rPr>
          <w:lang w:val="bg-BG"/>
        </w:rPr>
        <w:t xml:space="preserve">(ДПУ) </w:t>
      </w:r>
      <w:r w:rsidRPr="008A65D9">
        <w:rPr>
          <w:lang w:val="bg-BG"/>
        </w:rPr>
        <w:t xml:space="preserve">следва </w:t>
      </w:r>
      <w:r>
        <w:rPr>
          <w:lang w:val="bg-BG"/>
        </w:rPr>
        <w:t xml:space="preserve">да </w:t>
      </w:r>
      <w:r w:rsidRPr="008A65D9">
        <w:rPr>
          <w:lang w:val="bg-BG"/>
        </w:rPr>
        <w:t>подават информация към БНБ при всяка промяна на таксите, комисионите и лихвените проценти за съответните услуги, като информацията на интернет страницата следва да бъде текущо актуализирана към датата на влизане в сила на съответната промяна при доставчика на платежни услуги.</w:t>
      </w:r>
    </w:p>
    <w:p w:rsidR="00994785" w:rsidRPr="002B39B6" w:rsidRDefault="00994785" w:rsidP="002B39B6">
      <w:pPr>
        <w:ind w:firstLine="0"/>
      </w:pPr>
    </w:p>
    <w:p w:rsidR="008A25A3" w:rsidRDefault="008A25A3" w:rsidP="00EC1319">
      <w:pPr>
        <w:pStyle w:val="Heading3"/>
        <w:ind w:firstLine="708"/>
        <w:rPr>
          <w:lang w:val="bg-BG"/>
        </w:rPr>
      </w:pPr>
      <w:bookmarkStart w:id="20" w:name="_Toc522710117"/>
      <w:r>
        <w:rPr>
          <w:lang w:val="bg-BG"/>
        </w:rPr>
        <w:t>Бизнес процес</w:t>
      </w:r>
    </w:p>
    <w:p w:rsidR="008A25A3" w:rsidRDefault="008A25A3" w:rsidP="008A25A3">
      <w:pPr>
        <w:pStyle w:val="ListParagraph"/>
        <w:numPr>
          <w:ilvl w:val="0"/>
          <w:numId w:val="11"/>
        </w:numPr>
        <w:rPr>
          <w:lang w:val="bg-BG"/>
        </w:rPr>
      </w:pPr>
      <w:r w:rsidRPr="00955E83">
        <w:rPr>
          <w:lang w:val="bg-BG"/>
        </w:rPr>
        <w:t>36 доставчици на платежни услуги подават данни относно 18 услуги и съответните подуслуги, предоставяни от тях, което да позволи на потребителите да извършват сравнение на таксите за всяка услуга;</w:t>
      </w:r>
    </w:p>
    <w:p w:rsidR="008A25A3" w:rsidRDefault="008A25A3" w:rsidP="008A25A3">
      <w:pPr>
        <w:pStyle w:val="ListParagraph"/>
        <w:numPr>
          <w:ilvl w:val="0"/>
          <w:numId w:val="11"/>
        </w:numPr>
        <w:rPr>
          <w:lang w:val="bg-BG"/>
        </w:rPr>
      </w:pPr>
      <w:r>
        <w:rPr>
          <w:lang w:val="bg-BG"/>
        </w:rPr>
        <w:t xml:space="preserve">данните се </w:t>
      </w:r>
      <w:r w:rsidR="005B6ABE">
        <w:rPr>
          <w:lang w:val="bg-BG"/>
        </w:rPr>
        <w:t>подават</w:t>
      </w:r>
      <w:r>
        <w:rPr>
          <w:lang w:val="bg-BG"/>
        </w:rPr>
        <w:t xml:space="preserve"> в </w:t>
      </w:r>
      <w:r w:rsidR="005B6ABE">
        <w:rPr>
          <w:lang w:val="bg-BG"/>
        </w:rPr>
        <w:t xml:space="preserve">1 </w:t>
      </w:r>
      <w:r w:rsidR="005B6ABE">
        <w:t>Excel</w:t>
      </w:r>
      <w:r w:rsidR="005B6ABE">
        <w:rPr>
          <w:lang w:val="bg-BG"/>
        </w:rPr>
        <w:t xml:space="preserve"> файл с </w:t>
      </w:r>
      <w:r>
        <w:rPr>
          <w:lang w:val="bg-BG"/>
        </w:rPr>
        <w:t xml:space="preserve">5 </w:t>
      </w:r>
      <w:r w:rsidR="005B6ABE">
        <w:t>Sheet-</w:t>
      </w:r>
      <w:r w:rsidR="005B6ABE">
        <w:rPr>
          <w:lang w:val="bg-BG"/>
        </w:rPr>
        <w:t>а</w:t>
      </w:r>
      <w:r>
        <w:rPr>
          <w:lang w:val="bg-BG"/>
        </w:rPr>
        <w:t xml:space="preserve"> от всеки един доставчик, </w:t>
      </w:r>
      <w:r w:rsidR="005B6ABE">
        <w:rPr>
          <w:lang w:val="bg-BG"/>
        </w:rPr>
        <w:t xml:space="preserve">в </w:t>
      </w:r>
      <w:r>
        <w:rPr>
          <w:lang w:val="bg-BG"/>
        </w:rPr>
        <w:t xml:space="preserve">предварително </w:t>
      </w:r>
      <w:r w:rsidR="005B6ABE">
        <w:rPr>
          <w:lang w:val="bg-BG"/>
        </w:rPr>
        <w:t>подготвен</w:t>
      </w:r>
      <w:r>
        <w:rPr>
          <w:lang w:val="bg-BG"/>
        </w:rPr>
        <w:t xml:space="preserve"> от дирекция „Методология и финансови пазари“</w:t>
      </w:r>
      <w:r w:rsidR="005B6ABE">
        <w:rPr>
          <w:lang w:val="bg-BG"/>
        </w:rPr>
        <w:t xml:space="preserve"> шаблон</w:t>
      </w:r>
      <w:r>
        <w:rPr>
          <w:lang w:val="bg-BG"/>
        </w:rPr>
        <w:t>;</w:t>
      </w:r>
    </w:p>
    <w:p w:rsidR="008A25A3" w:rsidRDefault="008A25A3" w:rsidP="008A25A3">
      <w:pPr>
        <w:pStyle w:val="ListParagraph"/>
        <w:numPr>
          <w:ilvl w:val="0"/>
          <w:numId w:val="11"/>
        </w:numPr>
        <w:rPr>
          <w:lang w:val="bg-BG"/>
        </w:rPr>
      </w:pPr>
      <w:r>
        <w:rPr>
          <w:lang w:val="bg-BG"/>
        </w:rPr>
        <w:t>коригиращи таблици се подават при всяка промяна на информацията от доставчиците на платежни услуги</w:t>
      </w:r>
      <w:r w:rsidR="001C0DC0">
        <w:rPr>
          <w:lang w:val="bg-BG"/>
        </w:rPr>
        <w:t xml:space="preserve"> по отделно</w:t>
      </w:r>
      <w:r>
        <w:rPr>
          <w:lang w:val="bg-BG"/>
        </w:rPr>
        <w:t>;</w:t>
      </w:r>
    </w:p>
    <w:p w:rsidR="008A25A3" w:rsidRDefault="008A25A3" w:rsidP="008A25A3">
      <w:pPr>
        <w:pStyle w:val="ListParagraph"/>
        <w:numPr>
          <w:ilvl w:val="0"/>
          <w:numId w:val="11"/>
        </w:numPr>
        <w:rPr>
          <w:lang w:val="bg-BG"/>
        </w:rPr>
      </w:pPr>
      <w:r>
        <w:rPr>
          <w:lang w:val="bg-BG"/>
        </w:rPr>
        <w:t xml:space="preserve">информацията се подава по мрежата за финансова информация на БНБ </w:t>
      </w:r>
      <w:r>
        <w:t>FinNet;</w:t>
      </w:r>
    </w:p>
    <w:p w:rsidR="008A25A3" w:rsidRDefault="008A25A3" w:rsidP="008A25A3">
      <w:pPr>
        <w:pStyle w:val="ListParagraph"/>
        <w:numPr>
          <w:ilvl w:val="0"/>
          <w:numId w:val="11"/>
        </w:numPr>
        <w:rPr>
          <w:lang w:val="bg-BG"/>
        </w:rPr>
      </w:pPr>
      <w:r>
        <w:rPr>
          <w:lang w:val="bg-BG"/>
        </w:rPr>
        <w:t xml:space="preserve">дирекция „Методология и финансови пазари“ </w:t>
      </w:r>
      <w:r w:rsidR="001C0DC0">
        <w:rPr>
          <w:lang w:val="bg-BG"/>
        </w:rPr>
        <w:t>проверява</w:t>
      </w:r>
      <w:r>
        <w:t xml:space="preserve"> </w:t>
      </w:r>
      <w:r>
        <w:rPr>
          <w:lang w:val="bg-BG"/>
        </w:rPr>
        <w:t>данните в</w:t>
      </w:r>
      <w:r w:rsidR="001C0DC0">
        <w:rPr>
          <w:lang w:val="bg-BG"/>
        </w:rPr>
        <w:t>ъв</w:t>
      </w:r>
      <w:r>
        <w:rPr>
          <w:lang w:val="bg-BG"/>
        </w:rPr>
        <w:t xml:space="preserve"> </w:t>
      </w:r>
      <w:r w:rsidR="001C0DC0">
        <w:rPr>
          <w:lang w:val="bg-BG"/>
        </w:rPr>
        <w:t xml:space="preserve">всяка </w:t>
      </w:r>
      <w:r>
        <w:rPr>
          <w:lang w:val="bg-BG"/>
        </w:rPr>
        <w:t xml:space="preserve">една таблица и я предава на Пресцентър на БНБ за публикуване в </w:t>
      </w:r>
      <w:r w:rsidR="001C0DC0">
        <w:rPr>
          <w:lang w:val="bg-BG"/>
        </w:rPr>
        <w:t>и</w:t>
      </w:r>
      <w:r>
        <w:rPr>
          <w:lang w:val="bg-BG"/>
        </w:rPr>
        <w:t>нтернет сайта на БНБ.</w:t>
      </w:r>
    </w:p>
    <w:p w:rsidR="008A25A3" w:rsidRPr="00955E83" w:rsidRDefault="008A25A3" w:rsidP="008A25A3">
      <w:pPr>
        <w:pStyle w:val="ListParagraph"/>
        <w:numPr>
          <w:ilvl w:val="0"/>
          <w:numId w:val="11"/>
        </w:numPr>
        <w:rPr>
          <w:lang w:val="bg-BG"/>
        </w:rPr>
      </w:pPr>
      <w:r>
        <w:rPr>
          <w:lang w:val="bg-BG"/>
        </w:rPr>
        <w:t xml:space="preserve">Информацията трябва да бъде представена в </w:t>
      </w:r>
      <w:r w:rsidR="005B6ABE">
        <w:rPr>
          <w:lang w:val="bg-BG"/>
        </w:rPr>
        <w:t>и</w:t>
      </w:r>
      <w:r>
        <w:rPr>
          <w:lang w:val="bg-BG"/>
        </w:rPr>
        <w:t xml:space="preserve">нтернет </w:t>
      </w:r>
      <w:r w:rsidR="005B6ABE">
        <w:rPr>
          <w:lang w:val="bg-BG"/>
        </w:rPr>
        <w:t>страницата</w:t>
      </w:r>
      <w:r>
        <w:rPr>
          <w:lang w:val="bg-BG"/>
        </w:rPr>
        <w:t xml:space="preserve"> на БНБ по удобен за възприемане начин с възможност за използване на филтри с цел по добро визуализиране на нужната за потребителя информация </w:t>
      </w:r>
    </w:p>
    <w:p w:rsidR="00E9768C" w:rsidRDefault="00E9768C" w:rsidP="00E9768C">
      <w:pPr>
        <w:rPr>
          <w:lang w:val="bg-BG"/>
        </w:rPr>
      </w:pPr>
    </w:p>
    <w:p w:rsidR="00994785" w:rsidRPr="00955E83" w:rsidRDefault="00994785" w:rsidP="00EC1319">
      <w:pPr>
        <w:pStyle w:val="Heading3"/>
        <w:ind w:firstLine="708"/>
        <w:rPr>
          <w:lang w:val="bg-BG"/>
        </w:rPr>
      </w:pPr>
      <w:r w:rsidRPr="00955E83">
        <w:rPr>
          <w:lang w:val="bg-BG"/>
        </w:rPr>
        <w:t>Характеристики</w:t>
      </w:r>
      <w:bookmarkEnd w:id="20"/>
    </w:p>
    <w:p w:rsidR="009C753F" w:rsidRDefault="009C753F" w:rsidP="009C753F">
      <w:pPr>
        <w:ind w:firstLine="708"/>
        <w:rPr>
          <w:lang w:val="bg-BG"/>
        </w:rPr>
      </w:pPr>
      <w:r>
        <w:rPr>
          <w:lang w:val="bg-BG"/>
        </w:rPr>
        <w:t>При</w:t>
      </w:r>
      <w:r w:rsidRPr="00330BE9">
        <w:rPr>
          <w:lang w:val="bg-BG"/>
        </w:rPr>
        <w:t xml:space="preserve"> изграждането на интернет страницата за съпоставяне на таксите, поддържана от БНБ, </w:t>
      </w:r>
      <w:r>
        <w:rPr>
          <w:lang w:val="bg-BG"/>
        </w:rPr>
        <w:t xml:space="preserve">, тя </w:t>
      </w:r>
      <w:r w:rsidRPr="00330BE9">
        <w:rPr>
          <w:lang w:val="bg-BG"/>
        </w:rPr>
        <w:t xml:space="preserve">следва </w:t>
      </w:r>
      <w:r w:rsidRPr="00330BE9">
        <w:rPr>
          <w:szCs w:val="24"/>
        </w:rPr>
        <w:t xml:space="preserve">да позволява лесна визуализация на информацията и определено ниво на интерактивност, </w:t>
      </w:r>
      <w:r>
        <w:rPr>
          <w:szCs w:val="24"/>
          <w:lang w:val="bg-BG"/>
        </w:rPr>
        <w:t>което</w:t>
      </w:r>
      <w:r w:rsidRPr="00330BE9">
        <w:rPr>
          <w:szCs w:val="24"/>
        </w:rPr>
        <w:t xml:space="preserve"> да улеснява потребителите при сравняването на цените на услугите и да е съобразена с актуалните тенденции и практики в изграждането на сравнителни интернет страници за финансова информация</w:t>
      </w:r>
      <w:r>
        <w:rPr>
          <w:szCs w:val="24"/>
          <w:lang w:val="bg-BG"/>
        </w:rPr>
        <w:t>.</w:t>
      </w:r>
      <w:r w:rsidRPr="00330BE9">
        <w:rPr>
          <w:szCs w:val="24"/>
          <w:lang w:val="bg-BG"/>
        </w:rPr>
        <w:t xml:space="preserve"> </w:t>
      </w:r>
      <w:r>
        <w:rPr>
          <w:szCs w:val="24"/>
          <w:lang w:val="bg-BG"/>
        </w:rPr>
        <w:t>В тази връзка,</w:t>
      </w:r>
      <w:r w:rsidRPr="00330BE9">
        <w:rPr>
          <w:lang w:val="bg-BG"/>
        </w:rPr>
        <w:t xml:space="preserve"> сл</w:t>
      </w:r>
      <w:r w:rsidRPr="00035592">
        <w:rPr>
          <w:lang w:val="bg-BG"/>
        </w:rPr>
        <w:t xml:space="preserve">едва </w:t>
      </w:r>
      <w:r w:rsidRPr="00330BE9">
        <w:rPr>
          <w:lang w:val="bg-BG"/>
        </w:rPr>
        <w:t>да се вземат предвид следните характеристики и функционалности:</w:t>
      </w:r>
      <w:r>
        <w:rPr>
          <w:lang w:val="bg-BG"/>
        </w:rPr>
        <w:t xml:space="preserve"> </w:t>
      </w:r>
    </w:p>
    <w:p w:rsidR="00100511" w:rsidRDefault="009C753F" w:rsidP="00100511">
      <w:pPr>
        <w:pStyle w:val="ListParagraph"/>
        <w:numPr>
          <w:ilvl w:val="0"/>
          <w:numId w:val="11"/>
        </w:numPr>
        <w:rPr>
          <w:lang w:val="bg-BG"/>
        </w:rPr>
      </w:pPr>
      <w:r>
        <w:rPr>
          <w:lang w:val="bg-BG"/>
        </w:rPr>
        <w:lastRenderedPageBreak/>
        <w:t xml:space="preserve">да се </w:t>
      </w:r>
      <w:r>
        <w:t>доработ</w:t>
      </w:r>
      <w:r>
        <w:rPr>
          <w:lang w:val="bg-BG"/>
        </w:rPr>
        <w:t>и от изпълнителя</w:t>
      </w:r>
      <w:r>
        <w:t xml:space="preserve"> Excel шаблона, чрез който ДПУ подават </w:t>
      </w:r>
      <w:r>
        <w:rPr>
          <w:lang w:val="bg-BG"/>
        </w:rPr>
        <w:t xml:space="preserve">в БНБ входящата </w:t>
      </w:r>
      <w:r>
        <w:t xml:space="preserve">информация, в т.ч. </w:t>
      </w:r>
      <w:r>
        <w:rPr>
          <w:lang w:val="bg-BG"/>
        </w:rPr>
        <w:t xml:space="preserve">залагане на падащи менюта, както и </w:t>
      </w:r>
      <w:r>
        <w:t>контроли за проверка</w:t>
      </w:r>
      <w:r>
        <w:rPr>
          <w:lang w:val="bg-BG"/>
        </w:rPr>
        <w:t>, които да осигурят по-добро качество на входящите данните, и по-лесно им попълване от ДПУ</w:t>
      </w:r>
      <w:r w:rsidRPr="00D33464">
        <w:rPr>
          <w:szCs w:val="24"/>
          <w:lang w:val="bg-BG"/>
        </w:rPr>
        <w:t>;</w:t>
      </w:r>
      <w:r w:rsidR="00100511" w:rsidRPr="00100511">
        <w:rPr>
          <w:lang w:val="bg-BG"/>
        </w:rPr>
        <w:t xml:space="preserve"> </w:t>
      </w:r>
    </w:p>
    <w:p w:rsidR="009C753F" w:rsidRPr="0009448E" w:rsidRDefault="009C753F" w:rsidP="009C753F">
      <w:pPr>
        <w:pStyle w:val="ListParagraph"/>
        <w:numPr>
          <w:ilvl w:val="0"/>
          <w:numId w:val="11"/>
        </w:numPr>
        <w:rPr>
          <w:szCs w:val="24"/>
          <w:lang w:val="bg-BG"/>
        </w:rPr>
      </w:pPr>
      <w:r w:rsidRPr="00770198">
        <w:rPr>
          <w:szCs w:val="24"/>
          <w:lang w:val="bg-BG"/>
        </w:rPr>
        <w:t xml:space="preserve">да има възможност за въвеждане </w:t>
      </w:r>
      <w:r>
        <w:rPr>
          <w:szCs w:val="24"/>
          <w:lang w:val="bg-BG"/>
        </w:rPr>
        <w:t xml:space="preserve">в базата на интернет страницата </w:t>
      </w:r>
      <w:r w:rsidRPr="00770198">
        <w:rPr>
          <w:szCs w:val="24"/>
          <w:lang w:val="bg-BG"/>
        </w:rPr>
        <w:t>на входящите данни</w:t>
      </w:r>
      <w:r>
        <w:rPr>
          <w:szCs w:val="24"/>
          <w:lang w:val="bg-BG"/>
        </w:rPr>
        <w:t>,</w:t>
      </w:r>
      <w:r w:rsidRPr="00770198">
        <w:rPr>
          <w:szCs w:val="24"/>
          <w:lang w:val="bg-BG"/>
        </w:rPr>
        <w:t xml:space="preserve"> получени през </w:t>
      </w:r>
      <w:r w:rsidRPr="00770198">
        <w:rPr>
          <w:szCs w:val="24"/>
        </w:rPr>
        <w:t>F</w:t>
      </w:r>
      <w:r>
        <w:rPr>
          <w:szCs w:val="24"/>
        </w:rPr>
        <w:t>in</w:t>
      </w:r>
      <w:r w:rsidRPr="00770198">
        <w:rPr>
          <w:szCs w:val="24"/>
        </w:rPr>
        <w:t>N</w:t>
      </w:r>
      <w:r>
        <w:rPr>
          <w:szCs w:val="24"/>
        </w:rPr>
        <w:t>et</w:t>
      </w:r>
      <w:r w:rsidRPr="00770198">
        <w:rPr>
          <w:szCs w:val="24"/>
        </w:rPr>
        <w:t xml:space="preserve"> </w:t>
      </w:r>
      <w:r>
        <w:rPr>
          <w:szCs w:val="24"/>
          <w:lang w:val="bg-BG"/>
        </w:rPr>
        <w:t xml:space="preserve">портала на централната банка чрез попълването на </w:t>
      </w:r>
      <w:r>
        <w:t xml:space="preserve">Excel </w:t>
      </w:r>
      <w:r>
        <w:rPr>
          <w:szCs w:val="24"/>
          <w:lang w:val="bg-BG"/>
        </w:rPr>
        <w:t>шаблон от всяко ДПУ</w:t>
      </w:r>
      <w:r w:rsidR="00100511">
        <w:rPr>
          <w:szCs w:val="24"/>
          <w:lang w:val="bg-BG"/>
        </w:rPr>
        <w:t xml:space="preserve"> по отделно</w:t>
      </w:r>
      <w:r>
        <w:rPr>
          <w:szCs w:val="24"/>
          <w:lang w:val="bg-BG"/>
        </w:rPr>
        <w:t>;</w:t>
      </w:r>
    </w:p>
    <w:p w:rsidR="009C753F" w:rsidRPr="00AD1973" w:rsidRDefault="00100511" w:rsidP="009C753F">
      <w:pPr>
        <w:pStyle w:val="ListParagraph"/>
        <w:numPr>
          <w:ilvl w:val="0"/>
          <w:numId w:val="11"/>
        </w:numPr>
        <w:rPr>
          <w:lang w:val="bg-BG"/>
        </w:rPr>
      </w:pPr>
      <w:r>
        <w:rPr>
          <w:lang w:val="bg-BG"/>
        </w:rPr>
        <w:t xml:space="preserve">да има </w:t>
      </w:r>
      <w:r w:rsidR="009C753F" w:rsidRPr="0085192D">
        <w:rPr>
          <w:lang w:val="bg-BG"/>
        </w:rPr>
        <w:t>възможност за текущо актуализиране на публикуваната информацията на интернет страницата поради често променящите се наименования н</w:t>
      </w:r>
      <w:r w:rsidR="009C753F">
        <w:rPr>
          <w:lang w:val="bg-BG"/>
        </w:rPr>
        <w:t xml:space="preserve">а услугите, цените на услугите, </w:t>
      </w:r>
      <w:r w:rsidR="009C753F" w:rsidRPr="0085192D">
        <w:rPr>
          <w:lang w:val="bg-BG"/>
        </w:rPr>
        <w:t>характеристики на услугите, и др.</w:t>
      </w:r>
      <w:r>
        <w:rPr>
          <w:lang w:val="bg-BG"/>
        </w:rPr>
        <w:t>, като това трябва да става за всеки ДПУ по отделно със зареждане на подадения от ДПУ шаблон, като старата информация се припокрива с новата;</w:t>
      </w:r>
    </w:p>
    <w:p w:rsidR="00AD1973" w:rsidRPr="00EB6E5F" w:rsidRDefault="00AD1973" w:rsidP="00AD1973">
      <w:pPr>
        <w:pStyle w:val="ListParagraph"/>
        <w:numPr>
          <w:ilvl w:val="0"/>
          <w:numId w:val="11"/>
        </w:numPr>
        <w:rPr>
          <w:lang w:val="bg-BG"/>
        </w:rPr>
      </w:pPr>
      <w:r w:rsidRPr="00EB6E5F">
        <w:rPr>
          <w:lang w:val="bg-BG"/>
        </w:rPr>
        <w:t xml:space="preserve">да може да се добавя и/или изтрива даден </w:t>
      </w:r>
      <w:r>
        <w:rPr>
          <w:lang w:val="bg-BG"/>
        </w:rPr>
        <w:t>ДПУ</w:t>
      </w:r>
      <w:r w:rsidRPr="00EB6E5F">
        <w:rPr>
          <w:lang w:val="bg-BG"/>
        </w:rPr>
        <w:t xml:space="preserve"> и/или дадена услуга;</w:t>
      </w:r>
    </w:p>
    <w:p w:rsidR="00A83045" w:rsidRDefault="009C753F">
      <w:pPr>
        <w:pStyle w:val="ListParagraph"/>
        <w:numPr>
          <w:ilvl w:val="0"/>
          <w:numId w:val="11"/>
        </w:numPr>
        <w:rPr>
          <w:lang w:val="bg-BG"/>
        </w:rPr>
      </w:pPr>
      <w:r w:rsidRPr="009C753F">
        <w:rPr>
          <w:lang w:val="bg-BG"/>
        </w:rPr>
        <w:t>да има възможност за произволен брой на разновидностите (подуслугите) към дадена основна услуга;</w:t>
      </w:r>
    </w:p>
    <w:p w:rsidR="009C753F" w:rsidRPr="003D6A65" w:rsidRDefault="009C753F" w:rsidP="009C753F">
      <w:pPr>
        <w:pStyle w:val="ListParagraph"/>
        <w:numPr>
          <w:ilvl w:val="0"/>
          <w:numId w:val="11"/>
        </w:numPr>
        <w:rPr>
          <w:lang w:val="bg-BG"/>
        </w:rPr>
      </w:pPr>
      <w:r w:rsidRPr="003D6A65">
        <w:rPr>
          <w:lang w:val="bg-BG"/>
        </w:rPr>
        <w:t>да могат да бъдат въвеждани търговски наименования, ако те се явяват допълнение към услугите и служат като вторично наименование на тези услуги;</w:t>
      </w:r>
    </w:p>
    <w:p w:rsidR="009C753F" w:rsidRDefault="009C753F" w:rsidP="009C753F">
      <w:pPr>
        <w:pStyle w:val="ListParagraph"/>
        <w:numPr>
          <w:ilvl w:val="0"/>
          <w:numId w:val="11"/>
        </w:numPr>
        <w:rPr>
          <w:lang w:val="bg-BG"/>
        </w:rPr>
      </w:pPr>
      <w:r>
        <w:rPr>
          <w:lang w:val="bg-BG"/>
        </w:rPr>
        <w:t xml:space="preserve">таксите за </w:t>
      </w:r>
      <w:r w:rsidRPr="00955E83">
        <w:rPr>
          <w:lang w:val="bg-BG"/>
        </w:rPr>
        <w:t>услугите</w:t>
      </w:r>
      <w:r>
        <w:rPr>
          <w:lang w:val="bg-BG"/>
        </w:rPr>
        <w:t xml:space="preserve"> и подуслугите/разновидностите да </w:t>
      </w:r>
      <w:r w:rsidRPr="00955E83">
        <w:rPr>
          <w:lang w:val="bg-BG"/>
        </w:rPr>
        <w:t>могат да бъдат</w:t>
      </w:r>
      <w:r>
        <w:rPr>
          <w:lang w:val="bg-BG"/>
        </w:rPr>
        <w:t xml:space="preserve"> представяни</w:t>
      </w:r>
      <w:r w:rsidRPr="00955E83">
        <w:rPr>
          <w:lang w:val="bg-BG"/>
        </w:rPr>
        <w:t xml:space="preserve"> в национална и в чуждестранна валута;</w:t>
      </w:r>
    </w:p>
    <w:p w:rsidR="005755D0" w:rsidRPr="005755D0" w:rsidRDefault="009C753F" w:rsidP="005755D0">
      <w:pPr>
        <w:pStyle w:val="ListParagraph"/>
        <w:numPr>
          <w:ilvl w:val="0"/>
          <w:numId w:val="11"/>
        </w:numPr>
        <w:rPr>
          <w:lang w:val="bg-BG"/>
        </w:rPr>
      </w:pPr>
      <w:r w:rsidRPr="009133A3">
        <w:rPr>
          <w:lang w:val="bg-BG"/>
        </w:rPr>
        <w:t xml:space="preserve">към </w:t>
      </w:r>
      <w:r>
        <w:rPr>
          <w:lang w:val="bg-BG"/>
        </w:rPr>
        <w:t xml:space="preserve">наименованието или </w:t>
      </w:r>
      <w:r w:rsidRPr="009133A3">
        <w:rPr>
          <w:lang w:val="bg-BG"/>
        </w:rPr>
        <w:t xml:space="preserve">таксата </w:t>
      </w:r>
      <w:r>
        <w:rPr>
          <w:lang w:val="bg-BG"/>
        </w:rPr>
        <w:t>на дадена</w:t>
      </w:r>
      <w:r w:rsidRPr="009133A3">
        <w:rPr>
          <w:lang w:val="bg-BG"/>
        </w:rPr>
        <w:t xml:space="preserve"> услуга да има възможност</w:t>
      </w:r>
      <w:r>
        <w:rPr>
          <w:lang w:val="bg-BG"/>
        </w:rPr>
        <w:t>,</w:t>
      </w:r>
      <w:r w:rsidRPr="009133A3">
        <w:rPr>
          <w:lang w:val="bg-BG"/>
        </w:rPr>
        <w:t xml:space="preserve"> </w:t>
      </w:r>
      <w:r>
        <w:rPr>
          <w:lang w:val="bg-BG"/>
        </w:rPr>
        <w:t xml:space="preserve">напр. чрез бутон </w:t>
      </w:r>
      <w:r>
        <w:t xml:space="preserve">“i” </w:t>
      </w:r>
      <w:r>
        <w:rPr>
          <w:lang w:val="bg-BG"/>
        </w:rPr>
        <w:t xml:space="preserve">(информация), </w:t>
      </w:r>
      <w:r w:rsidRPr="009133A3">
        <w:rPr>
          <w:lang w:val="bg-BG"/>
        </w:rPr>
        <w:t>за визуализиране на допълнителна информация</w:t>
      </w:r>
      <w:r>
        <w:rPr>
          <w:lang w:val="bg-BG"/>
        </w:rPr>
        <w:t>/разширена оферта</w:t>
      </w:r>
      <w:r w:rsidRPr="009133A3">
        <w:rPr>
          <w:lang w:val="bg-BG"/>
        </w:rPr>
        <w:t xml:space="preserve">, в случай че такава е налична; </w:t>
      </w:r>
    </w:p>
    <w:p w:rsidR="00F132E3" w:rsidRDefault="005755D0" w:rsidP="005755D0">
      <w:pPr>
        <w:pStyle w:val="ListParagraph"/>
        <w:numPr>
          <w:ilvl w:val="0"/>
          <w:numId w:val="11"/>
        </w:numPr>
        <w:rPr>
          <w:lang w:val="bg-BG"/>
        </w:rPr>
      </w:pPr>
      <w:r w:rsidRPr="009C753F">
        <w:rPr>
          <w:lang w:val="bg-BG"/>
        </w:rPr>
        <w:t>да има възможност за използване и избор на филтри (критерии) с цел търсене</w:t>
      </w:r>
      <w:r w:rsidR="00F132E3">
        <w:rPr>
          <w:lang w:val="bg-BG"/>
        </w:rPr>
        <w:t xml:space="preserve"> от потребителите</w:t>
      </w:r>
      <w:r w:rsidRPr="009C753F">
        <w:rPr>
          <w:lang w:val="bg-BG"/>
        </w:rPr>
        <w:t>, сравнение</w:t>
      </w:r>
      <w:r>
        <w:rPr>
          <w:lang w:val="bg-BG"/>
        </w:rPr>
        <w:t xml:space="preserve"> и последващо визуализиране и подредба на определен набор от информация;</w:t>
      </w:r>
    </w:p>
    <w:p w:rsidR="005755D0" w:rsidRPr="00D86ED3" w:rsidRDefault="005755D0" w:rsidP="005755D0">
      <w:pPr>
        <w:pStyle w:val="ListParagraph"/>
        <w:numPr>
          <w:ilvl w:val="0"/>
          <w:numId w:val="11"/>
        </w:numPr>
        <w:rPr>
          <w:lang w:val="bg-BG"/>
        </w:rPr>
      </w:pPr>
      <w:r w:rsidRPr="00955E83">
        <w:rPr>
          <w:lang w:val="bg-BG"/>
        </w:rPr>
        <w:t xml:space="preserve">да има възможност за </w:t>
      </w:r>
      <w:r>
        <w:rPr>
          <w:lang w:val="bg-BG"/>
        </w:rPr>
        <w:t>изтегляне</w:t>
      </w:r>
      <w:r w:rsidRPr="00955E83">
        <w:rPr>
          <w:lang w:val="bg-BG"/>
        </w:rPr>
        <w:t xml:space="preserve"> </w:t>
      </w:r>
      <w:r w:rsidR="00A02755">
        <w:rPr>
          <w:lang w:val="bg-BG"/>
        </w:rPr>
        <w:t xml:space="preserve">от потребителите </w:t>
      </w:r>
      <w:r w:rsidRPr="00955E83">
        <w:rPr>
          <w:lang w:val="bg-BG"/>
        </w:rPr>
        <w:t>на необходимия набор от информация в различни формати (напр. xls, pdf, csv);</w:t>
      </w:r>
    </w:p>
    <w:p w:rsidR="009C753F" w:rsidRPr="00955E83" w:rsidRDefault="009C753F" w:rsidP="009C753F">
      <w:pPr>
        <w:pStyle w:val="ListParagraph"/>
        <w:numPr>
          <w:ilvl w:val="0"/>
          <w:numId w:val="11"/>
        </w:numPr>
        <w:rPr>
          <w:lang w:val="bg-BG"/>
        </w:rPr>
      </w:pPr>
      <w:r w:rsidRPr="00955E83">
        <w:rPr>
          <w:lang w:val="bg-BG"/>
        </w:rPr>
        <w:t>да е посочено кой е собственикът на интернет страницата и времето на последн</w:t>
      </w:r>
      <w:r w:rsidR="00100511">
        <w:rPr>
          <w:lang w:val="bg-BG"/>
        </w:rPr>
        <w:t>ата актуализация на информация</w:t>
      </w:r>
      <w:r w:rsidRPr="00955E83">
        <w:rPr>
          <w:lang w:val="bg-BG"/>
        </w:rPr>
        <w:t xml:space="preserve"> </w:t>
      </w:r>
      <w:r w:rsidR="00100511">
        <w:rPr>
          <w:lang w:val="bg-BG"/>
        </w:rPr>
        <w:t xml:space="preserve">(за който и да е ДПУ) </w:t>
      </w:r>
      <w:r w:rsidRPr="00955E83">
        <w:rPr>
          <w:lang w:val="bg-BG"/>
        </w:rPr>
        <w:t>в интернет страницата за съпоставяне на такси;</w:t>
      </w:r>
    </w:p>
    <w:p w:rsidR="00466081" w:rsidRPr="00F132E3" w:rsidRDefault="009C753F" w:rsidP="00F132E3">
      <w:pPr>
        <w:pStyle w:val="ListParagraph"/>
        <w:numPr>
          <w:ilvl w:val="0"/>
          <w:numId w:val="11"/>
        </w:numPr>
        <w:rPr>
          <w:lang w:val="bg-BG"/>
        </w:rPr>
      </w:pPr>
      <w:r w:rsidRPr="00F132E3">
        <w:rPr>
          <w:lang w:val="bg-BG"/>
        </w:rPr>
        <w:t>доставчиците на платежни услуги, основната услуга и подуслугите към нея, както и съответните такси за тях трябва да бъдат представени визуално (формат, шрифт и т.н.) еднакво в резултатите от търсенето, в сравнението между тях, както и при генерирането на съответен набор от информация.</w:t>
      </w:r>
      <w:r w:rsidR="00F132E3" w:rsidRPr="00F132E3" w:rsidDel="00F132E3">
        <w:rPr>
          <w:lang w:val="bg-BG"/>
        </w:rPr>
        <w:t xml:space="preserve"> </w:t>
      </w:r>
    </w:p>
    <w:sectPr w:rsidR="00466081" w:rsidRPr="00F132E3" w:rsidSect="003218E3">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0400" w:rsidRDefault="003A0400" w:rsidP="003218E3">
      <w:pPr>
        <w:spacing w:line="240" w:lineRule="auto"/>
      </w:pPr>
      <w:r>
        <w:separator/>
      </w:r>
    </w:p>
  </w:endnote>
  <w:endnote w:type="continuationSeparator" w:id="0">
    <w:p w:rsidR="003A0400" w:rsidRDefault="003A0400" w:rsidP="003218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SP UniversusML Cond Light">
    <w:altName w:val="Arial"/>
    <w:panose1 w:val="00000000000000000000"/>
    <w:charset w:val="00"/>
    <w:family w:val="modern"/>
    <w:notTrueType/>
    <w:pitch w:val="variable"/>
    <w:sig w:usb0="00000207" w:usb1="00000000" w:usb2="00000000" w:usb3="00000000" w:csb0="00000097"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081" w:rsidRDefault="00C149AD">
    <w:pPr>
      <w:pStyle w:val="Footer"/>
      <w:jc w:val="right"/>
    </w:pPr>
    <w:r>
      <w:fldChar w:fldCharType="begin"/>
    </w:r>
    <w:r w:rsidR="00F2739A">
      <w:instrText xml:space="preserve"> PAGE   \* MERGEFORMAT </w:instrText>
    </w:r>
    <w:r>
      <w:fldChar w:fldCharType="separate"/>
    </w:r>
    <w:r w:rsidR="0021387A">
      <w:rPr>
        <w:noProof/>
      </w:rPr>
      <w:t>7</w:t>
    </w:r>
    <w:r>
      <w:rPr>
        <w:noProof/>
      </w:rPr>
      <w:fldChar w:fldCharType="end"/>
    </w:r>
  </w:p>
  <w:p w:rsidR="00466081" w:rsidRDefault="004660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0400" w:rsidRDefault="003A0400" w:rsidP="003218E3">
      <w:pPr>
        <w:spacing w:line="240" w:lineRule="auto"/>
      </w:pPr>
      <w:r>
        <w:separator/>
      </w:r>
    </w:p>
  </w:footnote>
  <w:footnote w:type="continuationSeparator" w:id="0">
    <w:p w:rsidR="003A0400" w:rsidRDefault="003A0400" w:rsidP="003218E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C27E9"/>
    <w:multiLevelType w:val="multilevel"/>
    <w:tmpl w:val="2E002F9A"/>
    <w:lvl w:ilvl="0">
      <w:start w:val="1"/>
      <w:numFmt w:val="upperRoman"/>
      <w:suff w:val="space"/>
      <w:lvlText w:val="%1."/>
      <w:lvlJc w:val="center"/>
      <w:pPr>
        <w:ind w:left="360" w:hanging="360"/>
      </w:pPr>
      <w:rPr>
        <w:rFonts w:hint="default"/>
      </w:rPr>
    </w:lvl>
    <w:lvl w:ilvl="1">
      <w:start w:val="1"/>
      <w:numFmt w:val="decimal"/>
      <w:suff w:val="space"/>
      <w:lvlText w:val="%2."/>
      <w:lvlJc w:val="left"/>
      <w:pPr>
        <w:ind w:left="792" w:hanging="432"/>
      </w:pPr>
      <w:rPr>
        <w:rFonts w:hint="default"/>
      </w:rPr>
    </w:lvl>
    <w:lvl w:ilvl="2">
      <w:start w:val="1"/>
      <w:numFmt w:val="decimal"/>
      <w:suff w:val="space"/>
      <w:lvlText w:val="%2.%3."/>
      <w:lvlJc w:val="left"/>
      <w:pPr>
        <w:ind w:left="1224" w:hanging="504"/>
      </w:pPr>
      <w:rPr>
        <w:rFonts w:hint="default"/>
      </w:rPr>
    </w:lvl>
    <w:lvl w:ilvl="3">
      <w:start w:val="1"/>
      <w:numFmt w:val="decimal"/>
      <w:suff w:val="space"/>
      <w:lvlText w:val="%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324827"/>
    <w:multiLevelType w:val="hybridMultilevel"/>
    <w:tmpl w:val="7DEEB3DE"/>
    <w:lvl w:ilvl="0" w:tplc="DD3E5496">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BD31D9"/>
    <w:multiLevelType w:val="hybridMultilevel"/>
    <w:tmpl w:val="AEAEEBC2"/>
    <w:lvl w:ilvl="0" w:tplc="92067690">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15:restartNumberingAfterBreak="0">
    <w:nsid w:val="0AFC27D3"/>
    <w:multiLevelType w:val="multilevel"/>
    <w:tmpl w:val="0402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118F4AB1"/>
    <w:multiLevelType w:val="hybridMultilevel"/>
    <w:tmpl w:val="E674A50A"/>
    <w:lvl w:ilvl="0" w:tplc="EE5A9CFC">
      <w:start w:val="1"/>
      <w:numFmt w:val="decimal"/>
      <w:lvlText w:val="%1."/>
      <w:lvlJc w:val="left"/>
      <w:pPr>
        <w:ind w:left="1725" w:hanging="1005"/>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5" w15:restartNumberingAfterBreak="0">
    <w:nsid w:val="126968B0"/>
    <w:multiLevelType w:val="hybridMultilevel"/>
    <w:tmpl w:val="CF7EC788"/>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64C071B"/>
    <w:multiLevelType w:val="multilevel"/>
    <w:tmpl w:val="79E4C316"/>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09527DE"/>
    <w:multiLevelType w:val="multilevel"/>
    <w:tmpl w:val="79E4C316"/>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3AF262A"/>
    <w:multiLevelType w:val="multilevel"/>
    <w:tmpl w:val="027A5B56"/>
    <w:lvl w:ilvl="0">
      <w:start w:val="1"/>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9" w15:restartNumberingAfterBreak="0">
    <w:nsid w:val="2A7162EE"/>
    <w:multiLevelType w:val="hybridMultilevel"/>
    <w:tmpl w:val="A9709A3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2CBC65D1"/>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E135551"/>
    <w:multiLevelType w:val="multilevel"/>
    <w:tmpl w:val="04020027"/>
    <w:styleLink w:val="-1"/>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2" w15:restartNumberingAfterBreak="0">
    <w:nsid w:val="302A0257"/>
    <w:multiLevelType w:val="hybridMultilevel"/>
    <w:tmpl w:val="32182F8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35263051"/>
    <w:multiLevelType w:val="hybridMultilevel"/>
    <w:tmpl w:val="872C33CA"/>
    <w:lvl w:ilvl="0" w:tplc="0402000B">
      <w:start w:val="1"/>
      <w:numFmt w:val="bullet"/>
      <w:lvlText w:val=""/>
      <w:lvlJc w:val="left"/>
      <w:pPr>
        <w:ind w:left="1080" w:hanging="360"/>
      </w:pPr>
      <w:rPr>
        <w:rFonts w:ascii="Wingdings" w:hAnsi="Wingding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4" w15:restartNumberingAfterBreak="0">
    <w:nsid w:val="41E536A1"/>
    <w:multiLevelType w:val="hybridMultilevel"/>
    <w:tmpl w:val="1F648F42"/>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42FA4067"/>
    <w:multiLevelType w:val="hybridMultilevel"/>
    <w:tmpl w:val="FBEC0E7C"/>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6" w15:restartNumberingAfterBreak="0">
    <w:nsid w:val="495B65D6"/>
    <w:multiLevelType w:val="hybridMultilevel"/>
    <w:tmpl w:val="5FC0DBDC"/>
    <w:lvl w:ilvl="0" w:tplc="0C882888">
      <w:start w:val="7"/>
      <w:numFmt w:val="bullet"/>
      <w:lvlText w:val="-"/>
      <w:lvlJc w:val="left"/>
      <w:pPr>
        <w:ind w:left="720" w:hanging="360"/>
      </w:pPr>
      <w:rPr>
        <w:rFonts w:ascii="Times New Roman" w:eastAsia="Times New Roman" w:hAnsi="Times New Roman"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17" w15:restartNumberingAfterBreak="0">
    <w:nsid w:val="506565FA"/>
    <w:multiLevelType w:val="hybridMultilevel"/>
    <w:tmpl w:val="CF2C450E"/>
    <w:lvl w:ilvl="0" w:tplc="198ED1CA">
      <w:start w:val="1"/>
      <w:numFmt w:val="bullet"/>
      <w:lvlText w:val="—"/>
      <w:lvlJc w:val="left"/>
      <w:pPr>
        <w:ind w:left="1571" w:hanging="360"/>
      </w:pPr>
      <w:rPr>
        <w:rFonts w:ascii="Trebuchet MS" w:hAnsi="Trebuchet MS"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8" w15:restartNumberingAfterBreak="0">
    <w:nsid w:val="53E96574"/>
    <w:multiLevelType w:val="multilevel"/>
    <w:tmpl w:val="04020027"/>
    <w:numStyleLink w:val="-1"/>
  </w:abstractNum>
  <w:abstractNum w:abstractNumId="19" w15:restartNumberingAfterBreak="0">
    <w:nsid w:val="56007C23"/>
    <w:multiLevelType w:val="hybridMultilevel"/>
    <w:tmpl w:val="6060B04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EB874FF"/>
    <w:multiLevelType w:val="multilevel"/>
    <w:tmpl w:val="0402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6D327938"/>
    <w:multiLevelType w:val="multilevel"/>
    <w:tmpl w:val="79E4C316"/>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FF553E5"/>
    <w:multiLevelType w:val="multilevel"/>
    <w:tmpl w:val="0402001F"/>
    <w:lvl w:ilvl="0">
      <w:start w:val="1"/>
      <w:numFmt w:val="decimal"/>
      <w:lvlText w:val="%1."/>
      <w:lvlJc w:val="left"/>
      <w:pPr>
        <w:ind w:left="720" w:hanging="360"/>
      </w:pPr>
      <w:rPr>
        <w:rFonts w:cs="Times New Roman"/>
      </w:rPr>
    </w:lvl>
    <w:lvl w:ilvl="1">
      <w:start w:val="1"/>
      <w:numFmt w:val="decimal"/>
      <w:lvlText w:val="%1.%2."/>
      <w:lvlJc w:val="left"/>
      <w:pPr>
        <w:ind w:left="1152" w:hanging="432"/>
      </w:pPr>
      <w:rPr>
        <w:rFonts w:cs="Times New Roman"/>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3" w15:restartNumberingAfterBreak="0">
    <w:nsid w:val="706A6ADD"/>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C36E4E"/>
    <w:multiLevelType w:val="hybridMultilevel"/>
    <w:tmpl w:val="3E304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D05D25"/>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FF957B2"/>
    <w:multiLevelType w:val="multilevel"/>
    <w:tmpl w:val="0402001F"/>
    <w:lvl w:ilvl="0">
      <w:start w:val="1"/>
      <w:numFmt w:val="decimal"/>
      <w:lvlText w:val="%1."/>
      <w:lvlJc w:val="left"/>
      <w:pPr>
        <w:ind w:left="1068" w:hanging="360"/>
      </w:pPr>
      <w:rPr>
        <w:rFonts w:cs="Times New Roman"/>
      </w:rPr>
    </w:lvl>
    <w:lvl w:ilvl="1">
      <w:start w:val="1"/>
      <w:numFmt w:val="decimal"/>
      <w:lvlText w:val="%1.%2."/>
      <w:lvlJc w:val="left"/>
      <w:pPr>
        <w:ind w:left="1500" w:hanging="432"/>
      </w:pPr>
      <w:rPr>
        <w:rFonts w:cs="Times New Roman"/>
      </w:rPr>
    </w:lvl>
    <w:lvl w:ilvl="2">
      <w:start w:val="1"/>
      <w:numFmt w:val="decimal"/>
      <w:lvlText w:val="%1.%2.%3."/>
      <w:lvlJc w:val="left"/>
      <w:pPr>
        <w:ind w:left="1932" w:hanging="504"/>
      </w:pPr>
      <w:rPr>
        <w:rFonts w:cs="Times New Roman"/>
      </w:rPr>
    </w:lvl>
    <w:lvl w:ilvl="3">
      <w:start w:val="1"/>
      <w:numFmt w:val="decimal"/>
      <w:lvlText w:val="%1.%2.%3.%4."/>
      <w:lvlJc w:val="left"/>
      <w:pPr>
        <w:ind w:left="2436" w:hanging="648"/>
      </w:pPr>
      <w:rPr>
        <w:rFonts w:cs="Times New Roman"/>
      </w:rPr>
    </w:lvl>
    <w:lvl w:ilvl="4">
      <w:start w:val="1"/>
      <w:numFmt w:val="decimal"/>
      <w:lvlText w:val="%1.%2.%3.%4.%5."/>
      <w:lvlJc w:val="left"/>
      <w:pPr>
        <w:ind w:left="2940" w:hanging="792"/>
      </w:pPr>
      <w:rPr>
        <w:rFonts w:cs="Times New Roman"/>
      </w:rPr>
    </w:lvl>
    <w:lvl w:ilvl="5">
      <w:start w:val="1"/>
      <w:numFmt w:val="decimal"/>
      <w:lvlText w:val="%1.%2.%3.%4.%5.%6."/>
      <w:lvlJc w:val="left"/>
      <w:pPr>
        <w:ind w:left="3444" w:hanging="936"/>
      </w:pPr>
      <w:rPr>
        <w:rFonts w:cs="Times New Roman"/>
      </w:rPr>
    </w:lvl>
    <w:lvl w:ilvl="6">
      <w:start w:val="1"/>
      <w:numFmt w:val="decimal"/>
      <w:lvlText w:val="%1.%2.%3.%4.%5.%6.%7."/>
      <w:lvlJc w:val="left"/>
      <w:pPr>
        <w:ind w:left="3948" w:hanging="1080"/>
      </w:pPr>
      <w:rPr>
        <w:rFonts w:cs="Times New Roman"/>
      </w:rPr>
    </w:lvl>
    <w:lvl w:ilvl="7">
      <w:start w:val="1"/>
      <w:numFmt w:val="decimal"/>
      <w:lvlText w:val="%1.%2.%3.%4.%5.%6.%7.%8."/>
      <w:lvlJc w:val="left"/>
      <w:pPr>
        <w:ind w:left="4452" w:hanging="1224"/>
      </w:pPr>
      <w:rPr>
        <w:rFonts w:cs="Times New Roman"/>
      </w:rPr>
    </w:lvl>
    <w:lvl w:ilvl="8">
      <w:start w:val="1"/>
      <w:numFmt w:val="decimal"/>
      <w:lvlText w:val="%1.%2.%3.%4.%5.%6.%7.%8.%9."/>
      <w:lvlJc w:val="left"/>
      <w:pPr>
        <w:ind w:left="5028" w:hanging="1440"/>
      </w:pPr>
      <w:rPr>
        <w:rFonts w:cs="Times New Roman"/>
      </w:rPr>
    </w:lvl>
  </w:abstractNum>
  <w:num w:numId="1">
    <w:abstractNumId w:val="22"/>
  </w:num>
  <w:num w:numId="2">
    <w:abstractNumId w:val="26"/>
  </w:num>
  <w:num w:numId="3">
    <w:abstractNumId w:val="3"/>
  </w:num>
  <w:num w:numId="4">
    <w:abstractNumId w:val="15"/>
  </w:num>
  <w:num w:numId="5">
    <w:abstractNumId w:val="20"/>
  </w:num>
  <w:num w:numId="6">
    <w:abstractNumId w:val="19"/>
  </w:num>
  <w:num w:numId="7">
    <w:abstractNumId w:val="9"/>
  </w:num>
  <w:num w:numId="8">
    <w:abstractNumId w:val="16"/>
  </w:num>
  <w:num w:numId="9">
    <w:abstractNumId w:val="12"/>
  </w:num>
  <w:num w:numId="10">
    <w:abstractNumId w:val="10"/>
  </w:num>
  <w:num w:numId="11">
    <w:abstractNumId w:val="24"/>
  </w:num>
  <w:num w:numId="12">
    <w:abstractNumId w:val="8"/>
  </w:num>
  <w:num w:numId="13">
    <w:abstractNumId w:val="14"/>
  </w:num>
  <w:num w:numId="14">
    <w:abstractNumId w:val="23"/>
  </w:num>
  <w:num w:numId="15">
    <w:abstractNumId w:val="11"/>
  </w:num>
  <w:num w:numId="16">
    <w:abstractNumId w:val="18"/>
  </w:num>
  <w:num w:numId="17">
    <w:abstractNumId w:val="0"/>
  </w:num>
  <w:num w:numId="18">
    <w:abstractNumId w:val="25"/>
  </w:num>
  <w:num w:numId="19">
    <w:abstractNumId w:val="7"/>
  </w:num>
  <w:num w:numId="20">
    <w:abstractNumId w:val="21"/>
  </w:num>
  <w:num w:numId="21">
    <w:abstractNumId w:val="6"/>
  </w:num>
  <w:num w:numId="22">
    <w:abstractNumId w:val="1"/>
  </w:num>
  <w:num w:numId="23">
    <w:abstractNumId w:val="13"/>
  </w:num>
  <w:num w:numId="24">
    <w:abstractNumId w:val="5"/>
  </w:num>
  <w:num w:numId="25">
    <w:abstractNumId w:val="4"/>
  </w:num>
  <w:num w:numId="26">
    <w:abstractNumId w:val="17"/>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FBF"/>
    <w:rsid w:val="00000849"/>
    <w:rsid w:val="00001745"/>
    <w:rsid w:val="00021202"/>
    <w:rsid w:val="00021887"/>
    <w:rsid w:val="00026CC6"/>
    <w:rsid w:val="00034E6F"/>
    <w:rsid w:val="000609E3"/>
    <w:rsid w:val="000700EF"/>
    <w:rsid w:val="00071B43"/>
    <w:rsid w:val="00077228"/>
    <w:rsid w:val="00090C41"/>
    <w:rsid w:val="0009219B"/>
    <w:rsid w:val="000921E7"/>
    <w:rsid w:val="0009448E"/>
    <w:rsid w:val="000A068C"/>
    <w:rsid w:val="000A1753"/>
    <w:rsid w:val="000B0D9C"/>
    <w:rsid w:val="000D62C3"/>
    <w:rsid w:val="000F45E7"/>
    <w:rsid w:val="00100511"/>
    <w:rsid w:val="00111B79"/>
    <w:rsid w:val="00124E05"/>
    <w:rsid w:val="001401D6"/>
    <w:rsid w:val="00144A0D"/>
    <w:rsid w:val="00151B04"/>
    <w:rsid w:val="001766D6"/>
    <w:rsid w:val="00176FBB"/>
    <w:rsid w:val="001A3A5F"/>
    <w:rsid w:val="001B492B"/>
    <w:rsid w:val="001C0DC0"/>
    <w:rsid w:val="001C68A6"/>
    <w:rsid w:val="001D2946"/>
    <w:rsid w:val="001E1040"/>
    <w:rsid w:val="001E406C"/>
    <w:rsid w:val="001F4EA2"/>
    <w:rsid w:val="001F5F9F"/>
    <w:rsid w:val="00202CBB"/>
    <w:rsid w:val="00210A4F"/>
    <w:rsid w:val="0021387A"/>
    <w:rsid w:val="002139CB"/>
    <w:rsid w:val="002269D9"/>
    <w:rsid w:val="002451D5"/>
    <w:rsid w:val="0025233E"/>
    <w:rsid w:val="00253042"/>
    <w:rsid w:val="0025684C"/>
    <w:rsid w:val="0025698D"/>
    <w:rsid w:val="00262914"/>
    <w:rsid w:val="00285D4B"/>
    <w:rsid w:val="00286586"/>
    <w:rsid w:val="002A6B89"/>
    <w:rsid w:val="002B1680"/>
    <w:rsid w:val="002B39B6"/>
    <w:rsid w:val="002C450F"/>
    <w:rsid w:val="002D3454"/>
    <w:rsid w:val="002D5459"/>
    <w:rsid w:val="003218E3"/>
    <w:rsid w:val="003363FD"/>
    <w:rsid w:val="003419D3"/>
    <w:rsid w:val="00355FD7"/>
    <w:rsid w:val="00363B8D"/>
    <w:rsid w:val="00367D91"/>
    <w:rsid w:val="003720C8"/>
    <w:rsid w:val="003A0400"/>
    <w:rsid w:val="003B2146"/>
    <w:rsid w:val="003C15C3"/>
    <w:rsid w:val="003E5C3C"/>
    <w:rsid w:val="003F3C82"/>
    <w:rsid w:val="003F4230"/>
    <w:rsid w:val="00401B24"/>
    <w:rsid w:val="00404689"/>
    <w:rsid w:val="00424495"/>
    <w:rsid w:val="00447EA2"/>
    <w:rsid w:val="00456030"/>
    <w:rsid w:val="00466081"/>
    <w:rsid w:val="004702E1"/>
    <w:rsid w:val="004823F3"/>
    <w:rsid w:val="004946E0"/>
    <w:rsid w:val="004A5DE3"/>
    <w:rsid w:val="005005CB"/>
    <w:rsid w:val="0050472B"/>
    <w:rsid w:val="00511EFA"/>
    <w:rsid w:val="005135A1"/>
    <w:rsid w:val="00530AFE"/>
    <w:rsid w:val="005348EE"/>
    <w:rsid w:val="00542FBF"/>
    <w:rsid w:val="005479AB"/>
    <w:rsid w:val="005533BD"/>
    <w:rsid w:val="00565EC2"/>
    <w:rsid w:val="005755D0"/>
    <w:rsid w:val="00582DD0"/>
    <w:rsid w:val="00593AEF"/>
    <w:rsid w:val="005A27B1"/>
    <w:rsid w:val="005B6ABE"/>
    <w:rsid w:val="005C6359"/>
    <w:rsid w:val="005D6779"/>
    <w:rsid w:val="005E5A84"/>
    <w:rsid w:val="00601D3A"/>
    <w:rsid w:val="00604E87"/>
    <w:rsid w:val="00613610"/>
    <w:rsid w:val="0061525D"/>
    <w:rsid w:val="00624CF6"/>
    <w:rsid w:val="00625892"/>
    <w:rsid w:val="00640E11"/>
    <w:rsid w:val="00642329"/>
    <w:rsid w:val="006621F1"/>
    <w:rsid w:val="00664245"/>
    <w:rsid w:val="00666D93"/>
    <w:rsid w:val="006D0359"/>
    <w:rsid w:val="006D785B"/>
    <w:rsid w:val="006E1142"/>
    <w:rsid w:val="006E74A2"/>
    <w:rsid w:val="00701C14"/>
    <w:rsid w:val="0070336A"/>
    <w:rsid w:val="007277A7"/>
    <w:rsid w:val="00741357"/>
    <w:rsid w:val="00753388"/>
    <w:rsid w:val="00766058"/>
    <w:rsid w:val="00772E21"/>
    <w:rsid w:val="007758C5"/>
    <w:rsid w:val="00784524"/>
    <w:rsid w:val="007A558F"/>
    <w:rsid w:val="007B7A38"/>
    <w:rsid w:val="007C40B4"/>
    <w:rsid w:val="007D20CF"/>
    <w:rsid w:val="007D7014"/>
    <w:rsid w:val="007F0275"/>
    <w:rsid w:val="007F3107"/>
    <w:rsid w:val="00856E85"/>
    <w:rsid w:val="00857BB4"/>
    <w:rsid w:val="00857C9C"/>
    <w:rsid w:val="00870869"/>
    <w:rsid w:val="00895EFD"/>
    <w:rsid w:val="008A25A3"/>
    <w:rsid w:val="008A561F"/>
    <w:rsid w:val="008D2174"/>
    <w:rsid w:val="008F268C"/>
    <w:rsid w:val="008F3FEE"/>
    <w:rsid w:val="0090178E"/>
    <w:rsid w:val="009162DC"/>
    <w:rsid w:val="00916B1C"/>
    <w:rsid w:val="00934496"/>
    <w:rsid w:val="00955E83"/>
    <w:rsid w:val="00994785"/>
    <w:rsid w:val="009A6BCD"/>
    <w:rsid w:val="009B2AB8"/>
    <w:rsid w:val="009B75A5"/>
    <w:rsid w:val="009C753F"/>
    <w:rsid w:val="009D0B8D"/>
    <w:rsid w:val="009D141D"/>
    <w:rsid w:val="009F06FC"/>
    <w:rsid w:val="00A017AA"/>
    <w:rsid w:val="00A02755"/>
    <w:rsid w:val="00A07EE2"/>
    <w:rsid w:val="00A11B83"/>
    <w:rsid w:val="00A36190"/>
    <w:rsid w:val="00A671F9"/>
    <w:rsid w:val="00A72EF7"/>
    <w:rsid w:val="00A769A0"/>
    <w:rsid w:val="00A83045"/>
    <w:rsid w:val="00AA3DE2"/>
    <w:rsid w:val="00AA5AB6"/>
    <w:rsid w:val="00AA5EBD"/>
    <w:rsid w:val="00AB6F73"/>
    <w:rsid w:val="00AC2085"/>
    <w:rsid w:val="00AC4185"/>
    <w:rsid w:val="00AD1973"/>
    <w:rsid w:val="00AD2440"/>
    <w:rsid w:val="00AD6E22"/>
    <w:rsid w:val="00AE6C23"/>
    <w:rsid w:val="00B00B9D"/>
    <w:rsid w:val="00B04501"/>
    <w:rsid w:val="00B26777"/>
    <w:rsid w:val="00B513CB"/>
    <w:rsid w:val="00B602FF"/>
    <w:rsid w:val="00B64BDD"/>
    <w:rsid w:val="00B671E3"/>
    <w:rsid w:val="00B75F88"/>
    <w:rsid w:val="00B7649C"/>
    <w:rsid w:val="00B875C5"/>
    <w:rsid w:val="00BB1F73"/>
    <w:rsid w:val="00BF145E"/>
    <w:rsid w:val="00BF214E"/>
    <w:rsid w:val="00C1183C"/>
    <w:rsid w:val="00C149AD"/>
    <w:rsid w:val="00C5634F"/>
    <w:rsid w:val="00C815A0"/>
    <w:rsid w:val="00C85372"/>
    <w:rsid w:val="00CC0579"/>
    <w:rsid w:val="00CC2B6E"/>
    <w:rsid w:val="00CC377F"/>
    <w:rsid w:val="00CD67C5"/>
    <w:rsid w:val="00CE27C9"/>
    <w:rsid w:val="00CE4786"/>
    <w:rsid w:val="00CF2F5E"/>
    <w:rsid w:val="00CF4264"/>
    <w:rsid w:val="00CF4E26"/>
    <w:rsid w:val="00D03EE3"/>
    <w:rsid w:val="00D25C7F"/>
    <w:rsid w:val="00D34BB3"/>
    <w:rsid w:val="00D46D04"/>
    <w:rsid w:val="00D605EA"/>
    <w:rsid w:val="00D65473"/>
    <w:rsid w:val="00D67760"/>
    <w:rsid w:val="00D76C9E"/>
    <w:rsid w:val="00D7728E"/>
    <w:rsid w:val="00D84C7D"/>
    <w:rsid w:val="00DA25A0"/>
    <w:rsid w:val="00DD01E5"/>
    <w:rsid w:val="00DD53C5"/>
    <w:rsid w:val="00DE1A2B"/>
    <w:rsid w:val="00DF0FAF"/>
    <w:rsid w:val="00E25A9D"/>
    <w:rsid w:val="00E2736C"/>
    <w:rsid w:val="00E40DBA"/>
    <w:rsid w:val="00E47869"/>
    <w:rsid w:val="00E86B48"/>
    <w:rsid w:val="00E9768C"/>
    <w:rsid w:val="00EA30F0"/>
    <w:rsid w:val="00EB1411"/>
    <w:rsid w:val="00EB3BF0"/>
    <w:rsid w:val="00EC1319"/>
    <w:rsid w:val="00EE5925"/>
    <w:rsid w:val="00EE6226"/>
    <w:rsid w:val="00EF11BA"/>
    <w:rsid w:val="00EF26FE"/>
    <w:rsid w:val="00F132E3"/>
    <w:rsid w:val="00F13D87"/>
    <w:rsid w:val="00F222A3"/>
    <w:rsid w:val="00F25ACB"/>
    <w:rsid w:val="00F2739A"/>
    <w:rsid w:val="00F33A24"/>
    <w:rsid w:val="00F3568C"/>
    <w:rsid w:val="00F367D9"/>
    <w:rsid w:val="00F528B3"/>
    <w:rsid w:val="00F6086E"/>
    <w:rsid w:val="00F71D44"/>
    <w:rsid w:val="00FA0EF4"/>
    <w:rsid w:val="00FA511F"/>
    <w:rsid w:val="00FD4477"/>
    <w:rsid w:val="00FD5CA2"/>
    <w:rsid w:val="00FE1EB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A13C5B8-0CDC-41B4-9C7C-8559D87D3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20C8"/>
    <w:pPr>
      <w:spacing w:before="120" w:line="276" w:lineRule="auto"/>
      <w:ind w:firstLine="709"/>
      <w:jc w:val="both"/>
    </w:pPr>
    <w:rPr>
      <w:rFonts w:ascii="Times New Roman" w:hAnsi="Times New Roman"/>
      <w:sz w:val="24"/>
      <w:lang w:val="en-US" w:eastAsia="en-US"/>
    </w:rPr>
  </w:style>
  <w:style w:type="paragraph" w:styleId="Heading1">
    <w:name w:val="heading 1"/>
    <w:basedOn w:val="Normal"/>
    <w:next w:val="Normal"/>
    <w:link w:val="Heading1Char"/>
    <w:uiPriority w:val="99"/>
    <w:qFormat/>
    <w:rsid w:val="00E25A9D"/>
    <w:pPr>
      <w:keepNext/>
      <w:keepLines/>
      <w:spacing w:before="480"/>
      <w:ind w:firstLine="0"/>
      <w:outlineLvl w:val="0"/>
    </w:pPr>
    <w:rPr>
      <w:b/>
      <w:bCs/>
      <w:sz w:val="28"/>
      <w:szCs w:val="28"/>
    </w:rPr>
  </w:style>
  <w:style w:type="paragraph" w:styleId="Heading2">
    <w:name w:val="heading 2"/>
    <w:basedOn w:val="Heading1"/>
    <w:next w:val="Normal"/>
    <w:link w:val="Heading2Char"/>
    <w:uiPriority w:val="99"/>
    <w:qFormat/>
    <w:rsid w:val="005A27B1"/>
    <w:pPr>
      <w:spacing w:before="120"/>
      <w:outlineLvl w:val="1"/>
    </w:pPr>
    <w:rPr>
      <w:szCs w:val="26"/>
    </w:rPr>
  </w:style>
  <w:style w:type="paragraph" w:styleId="Heading3">
    <w:name w:val="heading 3"/>
    <w:basedOn w:val="Heading2"/>
    <w:next w:val="Normal"/>
    <w:link w:val="Heading3Char"/>
    <w:uiPriority w:val="99"/>
    <w:qFormat/>
    <w:rsid w:val="00E25A9D"/>
    <w:pPr>
      <w:outlineLvl w:val="2"/>
    </w:pPr>
    <w:rPr>
      <w:sz w:val="24"/>
      <w:szCs w:val="24"/>
    </w:rPr>
  </w:style>
  <w:style w:type="paragraph" w:styleId="Heading4">
    <w:name w:val="heading 4"/>
    <w:basedOn w:val="Normal"/>
    <w:next w:val="Normal"/>
    <w:link w:val="Heading4Char"/>
    <w:semiHidden/>
    <w:unhideWhenUsed/>
    <w:qFormat/>
    <w:locked/>
    <w:rsid w:val="007B7A38"/>
    <w:pPr>
      <w:keepNext/>
      <w:keepLines/>
      <w:spacing w:before="40"/>
      <w:ind w:firstLine="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locked/>
    <w:rsid w:val="007B7A38"/>
    <w:pPr>
      <w:keepNext/>
      <w:keepLines/>
      <w:spacing w:before="40"/>
      <w:ind w:firstLine="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locked/>
    <w:rsid w:val="007B7A38"/>
    <w:pPr>
      <w:keepNext/>
      <w:keepLines/>
      <w:spacing w:before="40"/>
      <w:ind w:firstLine="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locked/>
    <w:rsid w:val="007B7A38"/>
    <w:pPr>
      <w:keepNext/>
      <w:keepLines/>
      <w:spacing w:before="40"/>
      <w:ind w:firstLine="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locked/>
    <w:rsid w:val="007B7A38"/>
    <w:pPr>
      <w:keepNext/>
      <w:keepLines/>
      <w:spacing w:before="40"/>
      <w:ind w:firstLine="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7B7A38"/>
    <w:pPr>
      <w:keepNext/>
      <w:keepLines/>
      <w:spacing w:before="40"/>
      <w:ind w:firstLine="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25A9D"/>
    <w:rPr>
      <w:rFonts w:ascii="Times New Roman" w:hAnsi="Times New Roman"/>
      <w:b/>
      <w:bCs/>
      <w:sz w:val="28"/>
      <w:szCs w:val="28"/>
      <w:lang w:val="en-US" w:eastAsia="en-US"/>
    </w:rPr>
  </w:style>
  <w:style w:type="character" w:customStyle="1" w:styleId="Heading2Char">
    <w:name w:val="Heading 2 Char"/>
    <w:basedOn w:val="DefaultParagraphFont"/>
    <w:link w:val="Heading2"/>
    <w:uiPriority w:val="99"/>
    <w:locked/>
    <w:rsid w:val="005A27B1"/>
    <w:rPr>
      <w:rFonts w:ascii="Times New Roman" w:hAnsi="Times New Roman"/>
      <w:b/>
      <w:bCs/>
      <w:sz w:val="28"/>
      <w:szCs w:val="26"/>
      <w:lang w:val="en-US" w:eastAsia="en-US"/>
    </w:rPr>
  </w:style>
  <w:style w:type="character" w:customStyle="1" w:styleId="Heading3Char">
    <w:name w:val="Heading 3 Char"/>
    <w:basedOn w:val="DefaultParagraphFont"/>
    <w:link w:val="Heading3"/>
    <w:uiPriority w:val="99"/>
    <w:locked/>
    <w:rsid w:val="00E25A9D"/>
    <w:rPr>
      <w:rFonts w:ascii="Times New Roman" w:hAnsi="Times New Roman"/>
      <w:b/>
      <w:bCs/>
      <w:sz w:val="24"/>
      <w:szCs w:val="24"/>
      <w:lang w:val="en-US" w:eastAsia="en-US"/>
    </w:rPr>
  </w:style>
  <w:style w:type="paragraph" w:styleId="ListParagraph">
    <w:name w:val="List Paragraph"/>
    <w:basedOn w:val="Normal"/>
    <w:uiPriority w:val="99"/>
    <w:qFormat/>
    <w:rsid w:val="00542FBF"/>
    <w:pPr>
      <w:ind w:left="720"/>
      <w:contextualSpacing/>
    </w:pPr>
  </w:style>
  <w:style w:type="table" w:styleId="TableGrid">
    <w:name w:val="Table Grid"/>
    <w:basedOn w:val="TableNormal"/>
    <w:uiPriority w:val="99"/>
    <w:rsid w:val="00542FB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9D0B8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D0B8D"/>
    <w:rPr>
      <w:rFonts w:ascii="Tahoma" w:hAnsi="Tahoma" w:cs="Tahoma"/>
      <w:sz w:val="16"/>
      <w:szCs w:val="16"/>
    </w:rPr>
  </w:style>
  <w:style w:type="paragraph" w:styleId="BodyText">
    <w:name w:val="Body Text"/>
    <w:basedOn w:val="Normal"/>
    <w:link w:val="BodyTextChar"/>
    <w:uiPriority w:val="99"/>
    <w:rsid w:val="00077228"/>
    <w:pPr>
      <w:tabs>
        <w:tab w:val="left" w:pos="540"/>
      </w:tabs>
      <w:spacing w:line="360" w:lineRule="auto"/>
      <w:ind w:firstLine="539"/>
    </w:pPr>
    <w:rPr>
      <w:rFonts w:ascii="Arial" w:hAnsi="Arial"/>
      <w:szCs w:val="24"/>
    </w:rPr>
  </w:style>
  <w:style w:type="character" w:customStyle="1" w:styleId="BodyTextChar">
    <w:name w:val="Body Text Char"/>
    <w:basedOn w:val="DefaultParagraphFont"/>
    <w:link w:val="BodyText"/>
    <w:uiPriority w:val="99"/>
    <w:locked/>
    <w:rsid w:val="00077228"/>
    <w:rPr>
      <w:rFonts w:ascii="Arial" w:hAnsi="Arial" w:cs="Times New Roman"/>
      <w:sz w:val="24"/>
      <w:szCs w:val="24"/>
    </w:rPr>
  </w:style>
  <w:style w:type="paragraph" w:styleId="PlainText">
    <w:name w:val="Plain Text"/>
    <w:basedOn w:val="Normal"/>
    <w:link w:val="PlainTextChar"/>
    <w:uiPriority w:val="99"/>
    <w:rsid w:val="00077228"/>
    <w:pPr>
      <w:spacing w:line="240" w:lineRule="auto"/>
    </w:pPr>
    <w:rPr>
      <w:rFonts w:cs="Calibri"/>
    </w:rPr>
  </w:style>
  <w:style w:type="character" w:customStyle="1" w:styleId="PlainTextChar">
    <w:name w:val="Plain Text Char"/>
    <w:basedOn w:val="DefaultParagraphFont"/>
    <w:link w:val="PlainText"/>
    <w:uiPriority w:val="99"/>
    <w:locked/>
    <w:rsid w:val="00077228"/>
    <w:rPr>
      <w:rFonts w:ascii="Calibri" w:hAnsi="Calibri" w:cs="Calibri"/>
      <w:lang w:val="en-US"/>
    </w:rPr>
  </w:style>
  <w:style w:type="paragraph" w:styleId="TOCHeading">
    <w:name w:val="TOC Heading"/>
    <w:basedOn w:val="Heading1"/>
    <w:next w:val="Normal"/>
    <w:uiPriority w:val="99"/>
    <w:qFormat/>
    <w:rsid w:val="003218E3"/>
    <w:pPr>
      <w:spacing w:before="240" w:line="259" w:lineRule="auto"/>
      <w:outlineLvl w:val="9"/>
    </w:pPr>
    <w:rPr>
      <w:b w:val="0"/>
      <w:bCs w:val="0"/>
      <w:sz w:val="32"/>
      <w:szCs w:val="32"/>
    </w:rPr>
  </w:style>
  <w:style w:type="paragraph" w:styleId="TOC1">
    <w:name w:val="toc 1"/>
    <w:basedOn w:val="Normal"/>
    <w:next w:val="Normal"/>
    <w:autoRedefine/>
    <w:uiPriority w:val="39"/>
    <w:rsid w:val="003218E3"/>
    <w:pPr>
      <w:spacing w:after="100"/>
    </w:pPr>
  </w:style>
  <w:style w:type="paragraph" w:styleId="TOC2">
    <w:name w:val="toc 2"/>
    <w:basedOn w:val="Normal"/>
    <w:next w:val="Normal"/>
    <w:autoRedefine/>
    <w:uiPriority w:val="39"/>
    <w:rsid w:val="003218E3"/>
    <w:pPr>
      <w:spacing w:after="100"/>
      <w:ind w:left="220"/>
    </w:pPr>
  </w:style>
  <w:style w:type="paragraph" w:styleId="TOC3">
    <w:name w:val="toc 3"/>
    <w:basedOn w:val="Normal"/>
    <w:next w:val="Normal"/>
    <w:autoRedefine/>
    <w:uiPriority w:val="39"/>
    <w:rsid w:val="003218E3"/>
    <w:pPr>
      <w:spacing w:after="100"/>
      <w:ind w:left="440"/>
    </w:pPr>
  </w:style>
  <w:style w:type="character" w:styleId="Hyperlink">
    <w:name w:val="Hyperlink"/>
    <w:basedOn w:val="DefaultParagraphFont"/>
    <w:uiPriority w:val="99"/>
    <w:rsid w:val="003218E3"/>
    <w:rPr>
      <w:rFonts w:cs="Times New Roman"/>
      <w:color w:val="0000FF"/>
      <w:u w:val="single"/>
    </w:rPr>
  </w:style>
  <w:style w:type="paragraph" w:styleId="Header">
    <w:name w:val="header"/>
    <w:basedOn w:val="Normal"/>
    <w:link w:val="HeaderChar"/>
    <w:uiPriority w:val="99"/>
    <w:rsid w:val="003218E3"/>
    <w:pPr>
      <w:tabs>
        <w:tab w:val="center" w:pos="4703"/>
        <w:tab w:val="right" w:pos="9406"/>
      </w:tabs>
      <w:spacing w:line="240" w:lineRule="auto"/>
    </w:pPr>
  </w:style>
  <w:style w:type="character" w:customStyle="1" w:styleId="HeaderChar">
    <w:name w:val="Header Char"/>
    <w:basedOn w:val="DefaultParagraphFont"/>
    <w:link w:val="Header"/>
    <w:uiPriority w:val="99"/>
    <w:locked/>
    <w:rsid w:val="003218E3"/>
    <w:rPr>
      <w:rFonts w:cs="Times New Roman"/>
    </w:rPr>
  </w:style>
  <w:style w:type="paragraph" w:styleId="Footer">
    <w:name w:val="footer"/>
    <w:basedOn w:val="Normal"/>
    <w:link w:val="FooterChar"/>
    <w:uiPriority w:val="99"/>
    <w:rsid w:val="003218E3"/>
    <w:pPr>
      <w:tabs>
        <w:tab w:val="center" w:pos="4703"/>
        <w:tab w:val="right" w:pos="9406"/>
      </w:tabs>
      <w:spacing w:line="240" w:lineRule="auto"/>
    </w:pPr>
  </w:style>
  <w:style w:type="character" w:customStyle="1" w:styleId="FooterChar">
    <w:name w:val="Footer Char"/>
    <w:basedOn w:val="DefaultParagraphFont"/>
    <w:link w:val="Footer"/>
    <w:uiPriority w:val="99"/>
    <w:locked/>
    <w:rsid w:val="003218E3"/>
    <w:rPr>
      <w:rFonts w:cs="Times New Roman"/>
    </w:rPr>
  </w:style>
  <w:style w:type="character" w:styleId="CommentReference">
    <w:name w:val="annotation reference"/>
    <w:basedOn w:val="DefaultParagraphFont"/>
    <w:uiPriority w:val="99"/>
    <w:semiHidden/>
    <w:rsid w:val="00624CF6"/>
    <w:rPr>
      <w:rFonts w:cs="Times New Roman"/>
      <w:sz w:val="16"/>
      <w:szCs w:val="16"/>
    </w:rPr>
  </w:style>
  <w:style w:type="paragraph" w:styleId="CommentText">
    <w:name w:val="annotation text"/>
    <w:basedOn w:val="Normal"/>
    <w:link w:val="CommentTextChar"/>
    <w:uiPriority w:val="99"/>
    <w:semiHidden/>
    <w:rsid w:val="00624CF6"/>
    <w:pPr>
      <w:spacing w:line="240" w:lineRule="auto"/>
    </w:pPr>
    <w:rPr>
      <w:sz w:val="20"/>
      <w:szCs w:val="20"/>
    </w:rPr>
  </w:style>
  <w:style w:type="character" w:customStyle="1" w:styleId="CommentTextChar">
    <w:name w:val="Comment Text Char"/>
    <w:basedOn w:val="DefaultParagraphFont"/>
    <w:link w:val="CommentText"/>
    <w:uiPriority w:val="99"/>
    <w:semiHidden/>
    <w:locked/>
    <w:rsid w:val="00624CF6"/>
    <w:rPr>
      <w:rFonts w:cs="Times New Roman"/>
      <w:sz w:val="20"/>
      <w:szCs w:val="20"/>
    </w:rPr>
  </w:style>
  <w:style w:type="paragraph" w:styleId="CommentSubject">
    <w:name w:val="annotation subject"/>
    <w:basedOn w:val="CommentText"/>
    <w:next w:val="CommentText"/>
    <w:link w:val="CommentSubjectChar"/>
    <w:uiPriority w:val="99"/>
    <w:semiHidden/>
    <w:rsid w:val="00624CF6"/>
    <w:rPr>
      <w:b/>
      <w:bCs/>
    </w:rPr>
  </w:style>
  <w:style w:type="character" w:customStyle="1" w:styleId="CommentSubjectChar">
    <w:name w:val="Comment Subject Char"/>
    <w:basedOn w:val="CommentTextChar"/>
    <w:link w:val="CommentSubject"/>
    <w:uiPriority w:val="99"/>
    <w:semiHidden/>
    <w:locked/>
    <w:rsid w:val="00624CF6"/>
    <w:rPr>
      <w:rFonts w:cs="Times New Roman"/>
      <w:b/>
      <w:bCs/>
      <w:sz w:val="20"/>
      <w:szCs w:val="20"/>
    </w:rPr>
  </w:style>
  <w:style w:type="character" w:customStyle="1" w:styleId="Heading4Char">
    <w:name w:val="Heading 4 Char"/>
    <w:basedOn w:val="DefaultParagraphFont"/>
    <w:link w:val="Heading4"/>
    <w:semiHidden/>
    <w:rsid w:val="007B7A38"/>
    <w:rPr>
      <w:rFonts w:asciiTheme="majorHAnsi" w:eastAsiaTheme="majorEastAsia" w:hAnsiTheme="majorHAnsi" w:cstheme="majorBidi"/>
      <w:i/>
      <w:iCs/>
      <w:color w:val="365F91" w:themeColor="accent1" w:themeShade="BF"/>
      <w:lang w:val="en-US" w:eastAsia="en-US"/>
    </w:rPr>
  </w:style>
  <w:style w:type="character" w:customStyle="1" w:styleId="Heading5Char">
    <w:name w:val="Heading 5 Char"/>
    <w:basedOn w:val="DefaultParagraphFont"/>
    <w:link w:val="Heading5"/>
    <w:semiHidden/>
    <w:rsid w:val="007B7A38"/>
    <w:rPr>
      <w:rFonts w:asciiTheme="majorHAnsi" w:eastAsiaTheme="majorEastAsia" w:hAnsiTheme="majorHAnsi" w:cstheme="majorBidi"/>
      <w:color w:val="365F91" w:themeColor="accent1" w:themeShade="BF"/>
      <w:lang w:val="en-US" w:eastAsia="en-US"/>
    </w:rPr>
  </w:style>
  <w:style w:type="character" w:customStyle="1" w:styleId="Heading6Char">
    <w:name w:val="Heading 6 Char"/>
    <w:basedOn w:val="DefaultParagraphFont"/>
    <w:link w:val="Heading6"/>
    <w:semiHidden/>
    <w:rsid w:val="007B7A38"/>
    <w:rPr>
      <w:rFonts w:asciiTheme="majorHAnsi" w:eastAsiaTheme="majorEastAsia" w:hAnsiTheme="majorHAnsi" w:cstheme="majorBidi"/>
      <w:color w:val="243F60" w:themeColor="accent1" w:themeShade="7F"/>
      <w:lang w:val="en-US" w:eastAsia="en-US"/>
    </w:rPr>
  </w:style>
  <w:style w:type="character" w:customStyle="1" w:styleId="Heading7Char">
    <w:name w:val="Heading 7 Char"/>
    <w:basedOn w:val="DefaultParagraphFont"/>
    <w:link w:val="Heading7"/>
    <w:semiHidden/>
    <w:rsid w:val="007B7A38"/>
    <w:rPr>
      <w:rFonts w:asciiTheme="majorHAnsi" w:eastAsiaTheme="majorEastAsia" w:hAnsiTheme="majorHAnsi" w:cstheme="majorBidi"/>
      <w:i/>
      <w:iCs/>
      <w:color w:val="243F60" w:themeColor="accent1" w:themeShade="7F"/>
      <w:lang w:val="en-US" w:eastAsia="en-US"/>
    </w:rPr>
  </w:style>
  <w:style w:type="character" w:customStyle="1" w:styleId="Heading8Char">
    <w:name w:val="Heading 8 Char"/>
    <w:basedOn w:val="DefaultParagraphFont"/>
    <w:link w:val="Heading8"/>
    <w:semiHidden/>
    <w:rsid w:val="007B7A38"/>
    <w:rPr>
      <w:rFonts w:asciiTheme="majorHAnsi" w:eastAsiaTheme="majorEastAsia" w:hAnsiTheme="majorHAnsi" w:cstheme="majorBidi"/>
      <w:color w:val="272727" w:themeColor="text1" w:themeTint="D8"/>
      <w:sz w:val="21"/>
      <w:szCs w:val="21"/>
      <w:lang w:val="en-US" w:eastAsia="en-US"/>
    </w:rPr>
  </w:style>
  <w:style w:type="character" w:customStyle="1" w:styleId="Heading9Char">
    <w:name w:val="Heading 9 Char"/>
    <w:basedOn w:val="DefaultParagraphFont"/>
    <w:link w:val="Heading9"/>
    <w:semiHidden/>
    <w:rsid w:val="007B7A38"/>
    <w:rPr>
      <w:rFonts w:asciiTheme="majorHAnsi" w:eastAsiaTheme="majorEastAsia" w:hAnsiTheme="majorHAnsi" w:cstheme="majorBidi"/>
      <w:i/>
      <w:iCs/>
      <w:color w:val="272727" w:themeColor="text1" w:themeTint="D8"/>
      <w:sz w:val="21"/>
      <w:szCs w:val="21"/>
      <w:lang w:val="en-US" w:eastAsia="en-US"/>
    </w:rPr>
  </w:style>
  <w:style w:type="numbering" w:customStyle="1" w:styleId="-1">
    <w:name w:val="Номерация-1"/>
    <w:uiPriority w:val="99"/>
    <w:rsid w:val="007B7A38"/>
    <w:pPr>
      <w:numPr>
        <w:numId w:val="15"/>
      </w:numPr>
    </w:pPr>
  </w:style>
  <w:style w:type="paragraph" w:styleId="Revision">
    <w:name w:val="Revision"/>
    <w:hidden/>
    <w:uiPriority w:val="99"/>
    <w:semiHidden/>
    <w:rsid w:val="00CC377F"/>
    <w:rPr>
      <w:rFonts w:ascii="Times New Roman" w:hAnsi="Times New Roman"/>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741458">
      <w:marLeft w:val="0"/>
      <w:marRight w:val="0"/>
      <w:marTop w:val="0"/>
      <w:marBottom w:val="0"/>
      <w:divBdr>
        <w:top w:val="none" w:sz="0" w:space="0" w:color="auto"/>
        <w:left w:val="none" w:sz="0" w:space="0" w:color="auto"/>
        <w:bottom w:val="none" w:sz="0" w:space="0" w:color="auto"/>
        <w:right w:val="none" w:sz="0" w:space="0" w:color="auto"/>
      </w:divBdr>
    </w:div>
    <w:div w:id="3257414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488B1B-A6BB-4494-B6CE-CE973B936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11</Pages>
  <Words>3200</Words>
  <Characters>18245</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21403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USI</dc:creator>
  <cp:lastModifiedBy>Станислава Стойнева</cp:lastModifiedBy>
  <cp:revision>6</cp:revision>
  <cp:lastPrinted>2018-11-28T13:00:00Z</cp:lastPrinted>
  <dcterms:created xsi:type="dcterms:W3CDTF">2018-11-28T12:42:00Z</dcterms:created>
  <dcterms:modified xsi:type="dcterms:W3CDTF">2018-12-07T13:05:00Z</dcterms:modified>
</cp:coreProperties>
</file>