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DDD" w:rsidRPr="000B6DDD" w:rsidRDefault="000B6DDD" w:rsidP="00645016">
      <w:pPr>
        <w:spacing w:after="0" w:line="360" w:lineRule="auto"/>
        <w:ind w:firstLine="709"/>
        <w:jc w:val="right"/>
        <w:rPr>
          <w:rFonts w:ascii="Times New Roman" w:hAnsi="Times New Roman" w:cs="Times New Roman"/>
          <w:b/>
          <w:sz w:val="24"/>
          <w:szCs w:val="24"/>
          <w:u w:val="single"/>
        </w:rPr>
      </w:pPr>
      <w:bookmarkStart w:id="0" w:name="_GoBack"/>
      <w:bookmarkEnd w:id="0"/>
      <w:r w:rsidRPr="000B6DDD">
        <w:rPr>
          <w:rFonts w:ascii="Times New Roman" w:hAnsi="Times New Roman" w:cs="Times New Roman"/>
          <w:b/>
          <w:sz w:val="24"/>
          <w:szCs w:val="24"/>
          <w:u w:val="single"/>
        </w:rPr>
        <w:t>Приложение № 1</w:t>
      </w:r>
    </w:p>
    <w:p w:rsidR="000B6DDD" w:rsidRPr="000B6DDD" w:rsidRDefault="000B6DDD" w:rsidP="00645016">
      <w:pPr>
        <w:spacing w:after="0" w:line="360" w:lineRule="auto"/>
        <w:ind w:firstLine="709"/>
        <w:rPr>
          <w:rFonts w:ascii="Times New Roman" w:hAnsi="Times New Roman" w:cs="Times New Roman"/>
          <w:b/>
          <w:sz w:val="24"/>
          <w:szCs w:val="24"/>
        </w:rPr>
      </w:pPr>
    </w:p>
    <w:p w:rsidR="000A6075" w:rsidRPr="000B6DDD" w:rsidRDefault="000B6DDD" w:rsidP="0069617D">
      <w:pPr>
        <w:spacing w:after="0" w:line="360" w:lineRule="auto"/>
        <w:jc w:val="center"/>
        <w:rPr>
          <w:rFonts w:ascii="Times New Roman" w:hAnsi="Times New Roman" w:cs="Times New Roman"/>
          <w:b/>
          <w:sz w:val="24"/>
          <w:szCs w:val="24"/>
        </w:rPr>
      </w:pPr>
      <w:r w:rsidRPr="000B6DDD">
        <w:rPr>
          <w:rFonts w:ascii="Times New Roman" w:hAnsi="Times New Roman" w:cs="Times New Roman"/>
          <w:b/>
          <w:sz w:val="24"/>
          <w:szCs w:val="24"/>
        </w:rPr>
        <w:t>ТЕХНИЧЕСКА СПЕЦИФИКАЦИЯ</w:t>
      </w:r>
    </w:p>
    <w:p w:rsidR="000B6DDD" w:rsidRDefault="000B6DDD" w:rsidP="0069617D">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по </w:t>
      </w:r>
    </w:p>
    <w:p w:rsidR="000B6DDD" w:rsidRDefault="000B6DDD" w:rsidP="0069617D">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обществена поръчка с предмет: </w:t>
      </w:r>
    </w:p>
    <w:p w:rsidR="000B6DDD" w:rsidRDefault="00AA73BE" w:rsidP="00645016">
      <w:pPr>
        <w:spacing w:after="0" w:line="36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w:t>
      </w:r>
      <w:r w:rsidR="000B6DDD" w:rsidRPr="000B6DDD">
        <w:rPr>
          <w:rFonts w:ascii="Times New Roman" w:hAnsi="Times New Roman" w:cs="Times New Roman"/>
          <w:b/>
          <w:bCs/>
          <w:sz w:val="24"/>
          <w:szCs w:val="24"/>
        </w:rPr>
        <w:t>Предоставяне на право на ползване, абонаментно обслужване и функционално развитие на информационни технологии (WЕВ приложение за справки на Централния кредитен регистър в БНБ)</w:t>
      </w:r>
      <w:r>
        <w:rPr>
          <w:rFonts w:ascii="Times New Roman" w:hAnsi="Times New Roman" w:cs="Times New Roman"/>
          <w:b/>
          <w:bCs/>
          <w:sz w:val="24"/>
          <w:szCs w:val="24"/>
        </w:rPr>
        <w:t>“</w:t>
      </w:r>
    </w:p>
    <w:p w:rsidR="000B6DDD" w:rsidRDefault="000B6DDD" w:rsidP="00645016">
      <w:pPr>
        <w:spacing w:after="0" w:line="360" w:lineRule="auto"/>
        <w:ind w:firstLine="709"/>
        <w:jc w:val="center"/>
        <w:rPr>
          <w:rFonts w:ascii="Times New Roman" w:hAnsi="Times New Roman" w:cs="Times New Roman"/>
          <w:b/>
          <w:bCs/>
          <w:sz w:val="24"/>
          <w:szCs w:val="24"/>
        </w:rPr>
      </w:pPr>
    </w:p>
    <w:p w:rsidR="000B6DDD" w:rsidRDefault="000B6DDD" w:rsidP="00645016">
      <w:pPr>
        <w:pStyle w:val="ListParagraph"/>
        <w:spacing w:after="0" w:line="360" w:lineRule="auto"/>
        <w:ind w:left="0" w:firstLine="709"/>
        <w:jc w:val="both"/>
        <w:rPr>
          <w:rFonts w:ascii="Times New Roman" w:hAnsi="Times New Roman" w:cs="Times New Roman"/>
          <w:bCs/>
          <w:sz w:val="24"/>
          <w:szCs w:val="24"/>
        </w:rPr>
      </w:pPr>
    </w:p>
    <w:p w:rsidR="000B6DDD" w:rsidRDefault="000B6DDD" w:rsidP="00645016">
      <w:pPr>
        <w:pStyle w:val="ListParagraph"/>
        <w:numPr>
          <w:ilvl w:val="0"/>
          <w:numId w:val="2"/>
        </w:numPr>
        <w:spacing w:after="0" w:line="360" w:lineRule="auto"/>
        <w:ind w:left="0"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Въведение: </w:t>
      </w:r>
    </w:p>
    <w:p w:rsidR="000B6DDD" w:rsidRPr="000B6DDD" w:rsidRDefault="000B6DDD" w:rsidP="00645016">
      <w:pPr>
        <w:pStyle w:val="ListParagraph"/>
        <w:spacing w:after="0" w:line="360" w:lineRule="auto"/>
        <w:ind w:left="0" w:firstLine="709"/>
        <w:jc w:val="both"/>
        <w:rPr>
          <w:rFonts w:ascii="Times New Roman" w:hAnsi="Times New Roman" w:cs="Times New Roman"/>
          <w:bCs/>
          <w:sz w:val="24"/>
          <w:szCs w:val="24"/>
        </w:rPr>
      </w:pPr>
      <w:r w:rsidRPr="000B6DDD">
        <w:rPr>
          <w:rFonts w:ascii="Times New Roman" w:hAnsi="Times New Roman" w:cs="Times New Roman"/>
          <w:bCs/>
          <w:sz w:val="24"/>
          <w:szCs w:val="24"/>
        </w:rPr>
        <w:t>Централният кредитен регистър (ЦКР/регистъра) е организирана и поддържана от Българската народна банка (БНБ) информационна система за кредитната задлъжнялост на клиентите към банките, финансовите институции, платежните институции и дружествата за електронни пари, които извършват дейност на територията на Република България. Програмният продукт е създаден през 2004 г. в изпълнение на законовите изисквания на действащата по това време нормативна уредба в областта.</w:t>
      </w:r>
    </w:p>
    <w:p w:rsidR="000B6DDD" w:rsidRPr="000B6DDD" w:rsidRDefault="000B6DDD" w:rsidP="00645016">
      <w:pPr>
        <w:pStyle w:val="ListParagraph"/>
        <w:spacing w:after="0" w:line="360" w:lineRule="auto"/>
        <w:ind w:left="0" w:firstLine="709"/>
        <w:jc w:val="both"/>
        <w:rPr>
          <w:rFonts w:ascii="Times New Roman" w:hAnsi="Times New Roman" w:cs="Times New Roman"/>
          <w:bCs/>
          <w:sz w:val="24"/>
          <w:szCs w:val="24"/>
        </w:rPr>
      </w:pPr>
      <w:r w:rsidRPr="000B6DDD">
        <w:rPr>
          <w:rFonts w:ascii="Times New Roman" w:hAnsi="Times New Roman" w:cs="Times New Roman"/>
          <w:bCs/>
          <w:sz w:val="24"/>
          <w:szCs w:val="24"/>
        </w:rPr>
        <w:t>Съгласно чл. 2, ал. 1 от Указанията за реда за включване, правила за работа и за изключване на институции от информационната система на ЦКР (Указанията), Централният кредитен  регистър функционира чрез 2 (две) различни приложни системи, независими една от друга, с отделно дефинирани потребители:. Приложение за зареждане на данни на ИС на ЦКР и WEB приложение за удостоверения на ИС на ЦКР. Двете приложни  системи функционират в пряка връзка и зависимост една от друга. Тези две приложни системи са специфични и уникални като функционалност, тъй като в страната има единствен Централен кредитен регистър, опериран и администриран от БНБ (нормативно регламентирано).</w:t>
      </w:r>
    </w:p>
    <w:p w:rsidR="000B6DDD" w:rsidRDefault="000B6DDD" w:rsidP="00645016">
      <w:pPr>
        <w:pStyle w:val="ListParagraph"/>
        <w:spacing w:after="0" w:line="360" w:lineRule="auto"/>
        <w:ind w:left="0" w:firstLine="709"/>
        <w:jc w:val="both"/>
        <w:rPr>
          <w:rFonts w:ascii="Times New Roman" w:hAnsi="Times New Roman" w:cs="Times New Roman"/>
          <w:bCs/>
          <w:sz w:val="24"/>
          <w:szCs w:val="24"/>
        </w:rPr>
      </w:pPr>
      <w:r w:rsidRPr="000B6DDD">
        <w:rPr>
          <w:rFonts w:ascii="Times New Roman" w:hAnsi="Times New Roman" w:cs="Times New Roman"/>
          <w:bCs/>
          <w:sz w:val="24"/>
          <w:szCs w:val="24"/>
        </w:rPr>
        <w:t>Приложението за зареждане на данни на ИС на ЦКР е собственост на БНБ, докато носител на авторско право по смисъла на чл. 3, ал. 1, т. 1 от Закона за авторското право и сродните му права (ЗАПСП) на WEB приложението за удостоверения на ИС на ЦКР е „ДАТАМАКС“ АД. Лицето е притежател на изключителните права на информационни технологии, осигуряващи Интернет достъп за справки от Регистъра и като такова само то може да предоставя право на ползване, абонаментно обслужване и функционално развитие на продукта.</w:t>
      </w:r>
    </w:p>
    <w:p w:rsidR="00AF19E7" w:rsidRPr="000B6DDD" w:rsidRDefault="00AF19E7" w:rsidP="00645016">
      <w:pPr>
        <w:pStyle w:val="ListParagraph"/>
        <w:spacing w:after="0" w:line="360" w:lineRule="auto"/>
        <w:ind w:left="0" w:firstLine="709"/>
        <w:jc w:val="both"/>
        <w:rPr>
          <w:rFonts w:ascii="Times New Roman" w:hAnsi="Times New Roman" w:cs="Times New Roman"/>
          <w:bCs/>
          <w:sz w:val="24"/>
          <w:szCs w:val="24"/>
        </w:rPr>
      </w:pPr>
    </w:p>
    <w:p w:rsidR="000B6DDD" w:rsidRDefault="000B6DDD" w:rsidP="00645016">
      <w:pPr>
        <w:pStyle w:val="ListParagraph"/>
        <w:numPr>
          <w:ilvl w:val="0"/>
          <w:numId w:val="2"/>
        </w:numPr>
        <w:spacing w:after="0" w:line="360" w:lineRule="auto"/>
        <w:ind w:left="0" w:firstLine="709"/>
        <w:jc w:val="both"/>
        <w:rPr>
          <w:rFonts w:ascii="Times New Roman" w:hAnsi="Times New Roman" w:cs="Times New Roman"/>
          <w:b/>
          <w:bCs/>
          <w:sz w:val="24"/>
          <w:szCs w:val="24"/>
        </w:rPr>
      </w:pPr>
      <w:r>
        <w:rPr>
          <w:rFonts w:ascii="Times New Roman" w:hAnsi="Times New Roman" w:cs="Times New Roman"/>
          <w:b/>
          <w:bCs/>
          <w:sz w:val="24"/>
          <w:szCs w:val="24"/>
        </w:rPr>
        <w:t>Нормативна рамка:</w:t>
      </w:r>
    </w:p>
    <w:p w:rsidR="001D5F83" w:rsidRDefault="001D5F83" w:rsidP="001D5F83">
      <w:pPr>
        <w:pStyle w:val="ListParagraph"/>
        <w:numPr>
          <w:ilvl w:val="1"/>
          <w:numId w:val="2"/>
        </w:numPr>
        <w:spacing w:after="0" w:line="360" w:lineRule="auto"/>
        <w:ind w:left="0" w:firstLine="709"/>
        <w:jc w:val="both"/>
        <w:rPr>
          <w:rFonts w:ascii="Times New Roman" w:hAnsi="Times New Roman" w:cs="Times New Roman"/>
          <w:bCs/>
          <w:sz w:val="24"/>
          <w:szCs w:val="24"/>
        </w:rPr>
      </w:pPr>
      <w:r w:rsidRPr="00AF19E7">
        <w:rPr>
          <w:rFonts w:ascii="Times New Roman" w:hAnsi="Times New Roman" w:cs="Times New Roman"/>
          <w:bCs/>
          <w:sz w:val="24"/>
          <w:szCs w:val="24"/>
        </w:rPr>
        <w:t>Закон за кредитните институции;</w:t>
      </w:r>
    </w:p>
    <w:p w:rsidR="001D5F83" w:rsidRDefault="001D5F83" w:rsidP="001D5F83">
      <w:pPr>
        <w:pStyle w:val="ListParagraph"/>
        <w:numPr>
          <w:ilvl w:val="1"/>
          <w:numId w:val="2"/>
        </w:numPr>
        <w:tabs>
          <w:tab w:val="left" w:pos="851"/>
        </w:tabs>
        <w:spacing w:after="0" w:line="360" w:lineRule="auto"/>
        <w:ind w:left="0" w:firstLine="709"/>
        <w:jc w:val="both"/>
        <w:rPr>
          <w:rFonts w:ascii="Times New Roman" w:hAnsi="Times New Roman" w:cs="Times New Roman"/>
          <w:bCs/>
          <w:sz w:val="24"/>
          <w:szCs w:val="24"/>
        </w:rPr>
      </w:pPr>
      <w:r w:rsidRPr="009D0B89">
        <w:rPr>
          <w:rFonts w:ascii="Times New Roman" w:hAnsi="Times New Roman" w:cs="Times New Roman"/>
          <w:bCs/>
          <w:sz w:val="24"/>
          <w:szCs w:val="24"/>
        </w:rPr>
        <w:t xml:space="preserve">Наредба № 22 на БНБ от 16 юли 2009 г. за Централния кредитен регистър (Обнародвана в „Държавен вестник“, бр. 62 от 4 август 2009 г.; </w:t>
      </w:r>
      <w:r>
        <w:rPr>
          <w:rFonts w:ascii="Times New Roman" w:hAnsi="Times New Roman" w:cs="Times New Roman"/>
          <w:bCs/>
          <w:sz w:val="24"/>
          <w:szCs w:val="24"/>
        </w:rPr>
        <w:t>в сила от 1 октомври 2009 </w:t>
      </w:r>
      <w:r w:rsidRPr="009D0B89">
        <w:rPr>
          <w:rFonts w:ascii="Times New Roman" w:hAnsi="Times New Roman" w:cs="Times New Roman"/>
          <w:bCs/>
          <w:sz w:val="24"/>
          <w:szCs w:val="24"/>
        </w:rPr>
        <w:t>г.; изм. и доп., бр. 31 от 2012 г.; изм. и доп., бр. 93 от 2015 г.; изм. и доп., бр. 81 и 103 от 2016 г., в сила от 1 януари 2017 г.; изм. и доп., бр. 21 от 2017 г.</w:t>
      </w:r>
      <w:r w:rsidRPr="002B74BB">
        <w:rPr>
          <w:rFonts w:ascii="Times New Roman" w:hAnsi="Times New Roman" w:cs="Times New Roman"/>
          <w:bCs/>
          <w:sz w:val="24"/>
          <w:szCs w:val="24"/>
          <w:lang w:val="en-US"/>
        </w:rPr>
        <w:t xml:space="preserve">; </w:t>
      </w:r>
      <w:r w:rsidRPr="002B74BB">
        <w:rPr>
          <w:rFonts w:ascii="Times New Roman" w:hAnsi="Times New Roman" w:cs="Times New Roman"/>
          <w:bCs/>
          <w:sz w:val="24"/>
          <w:szCs w:val="24"/>
        </w:rPr>
        <w:t>изм. и доп., бр. 37 от 2018 г.</w:t>
      </w:r>
      <w:r w:rsidRPr="009D0B89">
        <w:rPr>
          <w:rFonts w:ascii="Times New Roman" w:hAnsi="Times New Roman" w:cs="Times New Roman"/>
          <w:bCs/>
          <w:sz w:val="24"/>
          <w:szCs w:val="24"/>
        </w:rPr>
        <w:t>);</w:t>
      </w:r>
    </w:p>
    <w:p w:rsidR="001D5F83" w:rsidRDefault="001D5F83" w:rsidP="001D5F83">
      <w:pPr>
        <w:pStyle w:val="ListParagraph"/>
        <w:numPr>
          <w:ilvl w:val="1"/>
          <w:numId w:val="2"/>
        </w:numPr>
        <w:tabs>
          <w:tab w:val="left" w:pos="851"/>
        </w:tabs>
        <w:spacing w:after="0" w:line="360" w:lineRule="auto"/>
        <w:ind w:left="0" w:firstLine="709"/>
        <w:jc w:val="both"/>
        <w:rPr>
          <w:rFonts w:ascii="Times New Roman" w:hAnsi="Times New Roman" w:cs="Times New Roman"/>
          <w:bCs/>
          <w:sz w:val="24"/>
          <w:szCs w:val="24"/>
        </w:rPr>
      </w:pPr>
      <w:r w:rsidRPr="009D0B89">
        <w:rPr>
          <w:rFonts w:ascii="Times New Roman" w:hAnsi="Times New Roman" w:cs="Times New Roman"/>
          <w:bCs/>
          <w:sz w:val="24"/>
          <w:szCs w:val="24"/>
        </w:rPr>
        <w:t>Указания № БНБ-43305/20.03.2018 г. за подаване и получаване на информация от информационната система на Централния кредитен регистър</w:t>
      </w:r>
      <w:r>
        <w:rPr>
          <w:rFonts w:ascii="Times New Roman" w:hAnsi="Times New Roman" w:cs="Times New Roman"/>
          <w:bCs/>
          <w:sz w:val="24"/>
          <w:szCs w:val="24"/>
        </w:rPr>
        <w:t>;</w:t>
      </w:r>
    </w:p>
    <w:p w:rsidR="001D5F83" w:rsidRDefault="001D5F83" w:rsidP="001D5F83">
      <w:pPr>
        <w:pStyle w:val="ListParagraph"/>
        <w:numPr>
          <w:ilvl w:val="1"/>
          <w:numId w:val="2"/>
        </w:numPr>
        <w:tabs>
          <w:tab w:val="left" w:pos="851"/>
        </w:tabs>
        <w:spacing w:after="0" w:line="360" w:lineRule="auto"/>
        <w:ind w:left="0" w:firstLine="709"/>
        <w:jc w:val="both"/>
        <w:rPr>
          <w:rFonts w:ascii="Times New Roman" w:hAnsi="Times New Roman" w:cs="Times New Roman"/>
          <w:bCs/>
          <w:sz w:val="24"/>
          <w:szCs w:val="24"/>
        </w:rPr>
      </w:pPr>
      <w:r w:rsidRPr="009D0B89">
        <w:rPr>
          <w:rFonts w:ascii="Times New Roman" w:hAnsi="Times New Roman" w:cs="Times New Roman"/>
          <w:bCs/>
          <w:sz w:val="24"/>
          <w:szCs w:val="24"/>
        </w:rPr>
        <w:t xml:space="preserve"> </w:t>
      </w:r>
      <w:r>
        <w:rPr>
          <w:rFonts w:ascii="Times New Roman" w:hAnsi="Times New Roman" w:cs="Times New Roman"/>
          <w:bCs/>
          <w:sz w:val="24"/>
          <w:szCs w:val="24"/>
        </w:rPr>
        <w:t>Указания № БНБ-43326/20.03.2017 г. за реда за включване, правила за работа и за изключване на институции от информационната система на Централния кредитен регистър;</w:t>
      </w:r>
    </w:p>
    <w:p w:rsidR="001D5F83" w:rsidRPr="009D0B89" w:rsidRDefault="001D5F83" w:rsidP="001D5F83">
      <w:pPr>
        <w:pStyle w:val="ListParagraph"/>
        <w:numPr>
          <w:ilvl w:val="1"/>
          <w:numId w:val="2"/>
        </w:numPr>
        <w:tabs>
          <w:tab w:val="left" w:pos="851"/>
        </w:tabs>
        <w:spacing w:after="0" w:line="360" w:lineRule="auto"/>
        <w:ind w:left="0" w:firstLine="709"/>
        <w:jc w:val="both"/>
        <w:rPr>
          <w:rFonts w:ascii="Times New Roman" w:hAnsi="Times New Roman" w:cs="Times New Roman"/>
          <w:bCs/>
          <w:sz w:val="24"/>
          <w:szCs w:val="24"/>
        </w:rPr>
      </w:pPr>
      <w:r w:rsidRPr="00C0788E">
        <w:rPr>
          <w:rFonts w:ascii="Times New Roman" w:hAnsi="Times New Roman" w:cs="Times New Roman"/>
          <w:bCs/>
          <w:sz w:val="24"/>
          <w:szCs w:val="24"/>
        </w:rPr>
        <w:t xml:space="preserve">Указания </w:t>
      </w:r>
      <w:r>
        <w:rPr>
          <w:rFonts w:ascii="Times New Roman" w:hAnsi="Times New Roman" w:cs="Times New Roman"/>
          <w:bCs/>
          <w:sz w:val="24"/>
          <w:szCs w:val="24"/>
        </w:rPr>
        <w:t xml:space="preserve">№ 61379/04.06.2018 г. </w:t>
      </w:r>
      <w:r w:rsidRPr="00C0788E">
        <w:rPr>
          <w:rFonts w:ascii="Times New Roman" w:hAnsi="Times New Roman" w:cs="Times New Roman"/>
          <w:bCs/>
          <w:sz w:val="24"/>
          <w:szCs w:val="24"/>
        </w:rPr>
        <w:t>за реда за включване, правила за работа и за изключване на органите по чл. 56, ал. 3 от Закона за кредитните институции от информационната система на Централния кредитен регистър</w:t>
      </w:r>
      <w:r>
        <w:rPr>
          <w:rFonts w:ascii="Times New Roman" w:hAnsi="Times New Roman" w:cs="Times New Roman"/>
          <w:bCs/>
          <w:sz w:val="24"/>
          <w:szCs w:val="24"/>
        </w:rPr>
        <w:t>.</w:t>
      </w:r>
    </w:p>
    <w:p w:rsidR="00AF19E7" w:rsidRDefault="00AF19E7" w:rsidP="00645016">
      <w:pPr>
        <w:spacing w:after="0" w:line="360" w:lineRule="auto"/>
        <w:ind w:firstLine="709"/>
        <w:jc w:val="both"/>
        <w:rPr>
          <w:rFonts w:ascii="Times New Roman" w:hAnsi="Times New Roman" w:cs="Times New Roman"/>
          <w:bCs/>
          <w:i/>
          <w:sz w:val="24"/>
          <w:szCs w:val="24"/>
        </w:rPr>
      </w:pPr>
      <w:r w:rsidRPr="00AF19E7">
        <w:rPr>
          <w:rFonts w:ascii="Times New Roman" w:hAnsi="Times New Roman" w:cs="Times New Roman"/>
          <w:bCs/>
          <w:i/>
          <w:sz w:val="24"/>
          <w:szCs w:val="24"/>
        </w:rPr>
        <w:t xml:space="preserve">Пълните текстове на посочените актове </w:t>
      </w:r>
      <w:r>
        <w:rPr>
          <w:rFonts w:ascii="Times New Roman" w:hAnsi="Times New Roman" w:cs="Times New Roman"/>
          <w:bCs/>
          <w:i/>
          <w:sz w:val="24"/>
          <w:szCs w:val="24"/>
        </w:rPr>
        <w:t>са публикувани на интернет страницата на БНБ, раздел „Регистри и услуги“, подраздел „</w:t>
      </w:r>
      <w:r w:rsidRPr="00AF19E7">
        <w:rPr>
          <w:rFonts w:ascii="Times New Roman" w:hAnsi="Times New Roman" w:cs="Times New Roman"/>
          <w:bCs/>
          <w:i/>
          <w:sz w:val="24"/>
          <w:szCs w:val="24"/>
        </w:rPr>
        <w:t>Централен кредитен регистър</w:t>
      </w:r>
      <w:r>
        <w:rPr>
          <w:rFonts w:ascii="Times New Roman" w:hAnsi="Times New Roman" w:cs="Times New Roman"/>
          <w:bCs/>
          <w:i/>
          <w:sz w:val="24"/>
          <w:szCs w:val="24"/>
        </w:rPr>
        <w:t xml:space="preserve">“, публично </w:t>
      </w:r>
      <w:r w:rsidR="000F4F5A">
        <w:rPr>
          <w:rFonts w:ascii="Times New Roman" w:hAnsi="Times New Roman" w:cs="Times New Roman"/>
          <w:bCs/>
          <w:i/>
          <w:sz w:val="24"/>
          <w:szCs w:val="24"/>
        </w:rPr>
        <w:t>достъпни на</w:t>
      </w:r>
      <w:r>
        <w:rPr>
          <w:rFonts w:ascii="Times New Roman" w:hAnsi="Times New Roman" w:cs="Times New Roman"/>
          <w:bCs/>
          <w:i/>
          <w:sz w:val="24"/>
          <w:szCs w:val="24"/>
        </w:rPr>
        <w:t xml:space="preserve"> адрес: </w:t>
      </w:r>
    </w:p>
    <w:p w:rsidR="00AF19E7" w:rsidRPr="00AF19E7" w:rsidRDefault="00D50B13" w:rsidP="00645016">
      <w:pPr>
        <w:spacing w:after="0" w:line="360" w:lineRule="auto"/>
        <w:ind w:firstLine="709"/>
        <w:jc w:val="both"/>
        <w:rPr>
          <w:rFonts w:ascii="Times New Roman" w:hAnsi="Times New Roman" w:cs="Times New Roman"/>
          <w:bCs/>
          <w:i/>
          <w:sz w:val="24"/>
          <w:szCs w:val="24"/>
        </w:rPr>
      </w:pPr>
      <w:hyperlink r:id="rId8" w:history="1">
        <w:r w:rsidR="00AF19E7" w:rsidRPr="002B5DB3">
          <w:rPr>
            <w:rStyle w:val="Hyperlink"/>
            <w:rFonts w:ascii="Times New Roman" w:hAnsi="Times New Roman" w:cs="Times New Roman"/>
            <w:bCs/>
            <w:i/>
            <w:sz w:val="24"/>
            <w:szCs w:val="24"/>
          </w:rPr>
          <w:t>http://www.bnb.bg/RegistersAndServices/RSCreditRegister/index.htm</w:t>
        </w:r>
      </w:hyperlink>
    </w:p>
    <w:p w:rsidR="000B6DDD" w:rsidRDefault="000B6DDD" w:rsidP="00645016">
      <w:pPr>
        <w:pStyle w:val="ListParagraph"/>
        <w:spacing w:after="0" w:line="360" w:lineRule="auto"/>
        <w:ind w:left="0" w:firstLine="709"/>
        <w:jc w:val="both"/>
        <w:rPr>
          <w:rFonts w:ascii="Times New Roman" w:hAnsi="Times New Roman" w:cs="Times New Roman"/>
          <w:bCs/>
          <w:sz w:val="24"/>
          <w:szCs w:val="24"/>
        </w:rPr>
      </w:pPr>
      <w:r w:rsidRPr="000B6DDD">
        <w:rPr>
          <w:rFonts w:ascii="Times New Roman" w:hAnsi="Times New Roman" w:cs="Times New Roman"/>
          <w:bCs/>
          <w:sz w:val="24"/>
          <w:szCs w:val="24"/>
        </w:rPr>
        <w:t>При изпълнението на обществената поръчка следва да бъдат съобразявани всички относими изисквания, произтичащи от действащите нормативни актове, които поставят технически, технологични и/или други изисквания към дейностите, предмет на поръчката, независимо дали са изрично посочени.</w:t>
      </w:r>
    </w:p>
    <w:p w:rsidR="000B6DDD" w:rsidRPr="000B6DDD" w:rsidRDefault="000B6DDD" w:rsidP="00645016">
      <w:pPr>
        <w:pStyle w:val="ListParagraph"/>
        <w:spacing w:after="0" w:line="360" w:lineRule="auto"/>
        <w:ind w:left="0" w:firstLine="709"/>
        <w:jc w:val="both"/>
        <w:rPr>
          <w:rFonts w:ascii="Times New Roman" w:hAnsi="Times New Roman" w:cs="Times New Roman"/>
          <w:bCs/>
          <w:sz w:val="24"/>
          <w:szCs w:val="24"/>
        </w:rPr>
      </w:pPr>
      <w:r w:rsidRPr="000B6DDD">
        <w:rPr>
          <w:rFonts w:ascii="Times New Roman" w:hAnsi="Times New Roman" w:cs="Times New Roman"/>
          <w:bCs/>
          <w:sz w:val="24"/>
          <w:szCs w:val="24"/>
        </w:rPr>
        <w:t>Изпълнителят следва да вземе под внимание и нормативните актове, които междувременно могат да влязат в сила и имат отношение към изпълнението на поръчката.</w:t>
      </w:r>
    </w:p>
    <w:p w:rsidR="000B6DDD" w:rsidRDefault="000B6DDD" w:rsidP="00645016">
      <w:pPr>
        <w:pStyle w:val="ListParagraph"/>
        <w:spacing w:after="0" w:line="360" w:lineRule="auto"/>
        <w:ind w:left="0" w:firstLine="709"/>
        <w:jc w:val="both"/>
        <w:rPr>
          <w:rFonts w:ascii="Times New Roman" w:hAnsi="Times New Roman" w:cs="Times New Roman"/>
          <w:bCs/>
          <w:sz w:val="24"/>
          <w:szCs w:val="24"/>
        </w:rPr>
      </w:pPr>
      <w:r w:rsidRPr="000B6DDD">
        <w:rPr>
          <w:rFonts w:ascii="Times New Roman" w:hAnsi="Times New Roman" w:cs="Times New Roman"/>
          <w:bCs/>
          <w:sz w:val="24"/>
          <w:szCs w:val="24"/>
        </w:rPr>
        <w:t>При установяване на противоречие между настоящата спецификация и действащ нормативен акт, приоритет има съответният акт.</w:t>
      </w:r>
    </w:p>
    <w:p w:rsidR="000B6DDD" w:rsidRDefault="000B6DDD" w:rsidP="00645016">
      <w:pPr>
        <w:pStyle w:val="ListParagraph"/>
        <w:numPr>
          <w:ilvl w:val="0"/>
          <w:numId w:val="2"/>
        </w:numPr>
        <w:spacing w:after="0" w:line="360" w:lineRule="auto"/>
        <w:ind w:left="0" w:firstLine="709"/>
        <w:jc w:val="both"/>
        <w:rPr>
          <w:rFonts w:ascii="Times New Roman" w:hAnsi="Times New Roman" w:cs="Times New Roman"/>
          <w:bCs/>
          <w:sz w:val="24"/>
          <w:szCs w:val="24"/>
        </w:rPr>
      </w:pPr>
      <w:r w:rsidRPr="000B6DDD">
        <w:rPr>
          <w:rFonts w:ascii="Times New Roman" w:hAnsi="Times New Roman" w:cs="Times New Roman"/>
          <w:b/>
          <w:bCs/>
          <w:sz w:val="24"/>
          <w:szCs w:val="24"/>
        </w:rPr>
        <w:t>Обхват на обществената поръчка</w:t>
      </w:r>
      <w:r>
        <w:rPr>
          <w:rFonts w:ascii="Times New Roman" w:hAnsi="Times New Roman" w:cs="Times New Roman"/>
          <w:bCs/>
          <w:sz w:val="24"/>
          <w:szCs w:val="24"/>
        </w:rPr>
        <w:t>:</w:t>
      </w:r>
    </w:p>
    <w:p w:rsidR="00F420DD" w:rsidRPr="00F420DD" w:rsidRDefault="00F420DD" w:rsidP="00645016">
      <w:pPr>
        <w:spacing w:after="0" w:line="360" w:lineRule="auto"/>
        <w:ind w:firstLine="709"/>
        <w:jc w:val="both"/>
        <w:rPr>
          <w:rFonts w:ascii="Times New Roman" w:hAnsi="Times New Roman" w:cs="Times New Roman"/>
          <w:bCs/>
          <w:sz w:val="24"/>
          <w:szCs w:val="24"/>
        </w:rPr>
      </w:pPr>
      <w:r w:rsidRPr="00F420DD">
        <w:rPr>
          <w:rFonts w:ascii="Times New Roman" w:hAnsi="Times New Roman" w:cs="Times New Roman"/>
          <w:bCs/>
          <w:sz w:val="24"/>
          <w:szCs w:val="24"/>
        </w:rPr>
        <w:t>Обществената поръчка включва следните услуги:</w:t>
      </w:r>
    </w:p>
    <w:p w:rsidR="00D81994" w:rsidRDefault="00D81994" w:rsidP="00645016">
      <w:pPr>
        <w:pStyle w:val="ListParagraph"/>
        <w:numPr>
          <w:ilvl w:val="1"/>
          <w:numId w:val="2"/>
        </w:numPr>
        <w:spacing w:after="0" w:line="360" w:lineRule="auto"/>
        <w:ind w:left="0" w:firstLine="709"/>
        <w:jc w:val="both"/>
        <w:rPr>
          <w:rFonts w:ascii="Times New Roman" w:eastAsia="Times New Roman" w:hAnsi="Times New Roman" w:cs="Times New Roman"/>
          <w:sz w:val="24"/>
          <w:szCs w:val="20"/>
          <w:lang w:eastAsia="bg-BG"/>
        </w:rPr>
      </w:pPr>
      <w:r w:rsidRPr="00D81994">
        <w:rPr>
          <w:rFonts w:ascii="Times New Roman" w:eastAsia="Times New Roman" w:hAnsi="Times New Roman" w:cs="Times New Roman"/>
          <w:sz w:val="24"/>
          <w:szCs w:val="20"/>
          <w:lang w:eastAsia="bg-BG"/>
        </w:rPr>
        <w:t xml:space="preserve">Право на ползване на информационни технологии (WЕВ приложение за справки на Централния кредитен регистър в БНБ), собственост на „ДАТАМАКС“ АД, осигуряващи интернет достъп до системата „Централен кредитен регистър“, наричани </w:t>
      </w:r>
      <w:r w:rsidRPr="00D81994">
        <w:rPr>
          <w:rFonts w:ascii="Times New Roman" w:eastAsia="Times New Roman" w:hAnsi="Times New Roman" w:cs="Times New Roman"/>
          <w:sz w:val="24"/>
          <w:szCs w:val="20"/>
          <w:lang w:eastAsia="bg-BG"/>
        </w:rPr>
        <w:lastRenderedPageBreak/>
        <w:t>по-нататък за краткост алтернативно „</w:t>
      </w:r>
      <w:r w:rsidRPr="00D81994">
        <w:rPr>
          <w:rFonts w:ascii="Times New Roman" w:eastAsia="Times New Roman" w:hAnsi="Times New Roman" w:cs="Times New Roman"/>
          <w:sz w:val="24"/>
          <w:szCs w:val="20"/>
          <w:lang w:val="en-US" w:eastAsia="bg-BG"/>
        </w:rPr>
        <w:t>WEB</w:t>
      </w:r>
      <w:r w:rsidRPr="00D81994">
        <w:rPr>
          <w:rFonts w:ascii="Times New Roman" w:eastAsia="Times New Roman" w:hAnsi="Times New Roman" w:cs="Times New Roman"/>
          <w:sz w:val="24"/>
          <w:szCs w:val="20"/>
          <w:lang w:eastAsia="bg-BG"/>
        </w:rPr>
        <w:t xml:space="preserve"> приложението“ или „Приложението“. Правото на ползване на </w:t>
      </w:r>
      <w:r w:rsidRPr="00D81994">
        <w:rPr>
          <w:rFonts w:ascii="Times New Roman" w:eastAsia="Times New Roman" w:hAnsi="Times New Roman" w:cs="Times New Roman"/>
          <w:sz w:val="24"/>
          <w:szCs w:val="20"/>
          <w:lang w:val="en-US" w:eastAsia="bg-BG"/>
        </w:rPr>
        <w:t>WEB</w:t>
      </w:r>
      <w:r w:rsidRPr="00D81994">
        <w:rPr>
          <w:rFonts w:ascii="Times New Roman" w:eastAsia="Times New Roman" w:hAnsi="Times New Roman" w:cs="Times New Roman"/>
          <w:sz w:val="24"/>
          <w:szCs w:val="20"/>
          <w:lang w:eastAsia="bg-BG"/>
        </w:rPr>
        <w:t xml:space="preserve"> приложението се осъществява съгласно Приложение № 1.1. – „Описание на</w:t>
      </w:r>
      <w:r w:rsidRPr="00D81994">
        <w:rPr>
          <w:rFonts w:ascii="Times New Roman" w:eastAsia="Times New Roman" w:hAnsi="Times New Roman" w:cs="Times New Roman"/>
          <w:color w:val="000000"/>
          <w:spacing w:val="1"/>
          <w:sz w:val="24"/>
          <w:szCs w:val="24"/>
          <w:lang w:eastAsia="bg-BG"/>
        </w:rPr>
        <w:t xml:space="preserve"> </w:t>
      </w:r>
      <w:r w:rsidRPr="00D81994">
        <w:rPr>
          <w:rFonts w:ascii="Times New Roman" w:eastAsia="Times New Roman" w:hAnsi="Times New Roman" w:cs="Times New Roman"/>
          <w:sz w:val="24"/>
          <w:szCs w:val="20"/>
          <w:lang w:eastAsia="bg-BG"/>
        </w:rPr>
        <w:t>информационните технологии, осигуряващи интернет достъп до системата „Централен кредитен регистър (ЦКР) в БНБ</w:t>
      </w:r>
      <w:r w:rsidRPr="00D81994">
        <w:rPr>
          <w:rFonts w:ascii="Times New Roman" w:eastAsia="Times New Roman" w:hAnsi="Times New Roman" w:cs="Times New Roman"/>
          <w:color w:val="000000"/>
          <w:spacing w:val="1"/>
          <w:sz w:val="24"/>
          <w:szCs w:val="24"/>
          <w:lang w:eastAsia="bg-BG"/>
        </w:rPr>
        <w:t>”</w:t>
      </w:r>
      <w:r w:rsidRPr="00D81994">
        <w:rPr>
          <w:rFonts w:ascii="Times New Roman" w:eastAsia="Times New Roman" w:hAnsi="Times New Roman" w:cs="Times New Roman"/>
          <w:sz w:val="24"/>
          <w:szCs w:val="20"/>
          <w:lang w:eastAsia="bg-BG"/>
        </w:rPr>
        <w:t xml:space="preserve"> („WEB-приложение за удостоверения на ИС на ЦКР”)“, представляващо неразделна част от покана</w:t>
      </w:r>
      <w:r>
        <w:rPr>
          <w:rFonts w:ascii="Times New Roman" w:eastAsia="Times New Roman" w:hAnsi="Times New Roman" w:cs="Times New Roman"/>
          <w:sz w:val="24"/>
          <w:szCs w:val="20"/>
          <w:lang w:eastAsia="bg-BG"/>
        </w:rPr>
        <w:t>та</w:t>
      </w:r>
      <w:r w:rsidRPr="00D81994">
        <w:rPr>
          <w:rFonts w:ascii="Times New Roman" w:eastAsia="Times New Roman" w:hAnsi="Times New Roman" w:cs="Times New Roman"/>
          <w:sz w:val="24"/>
          <w:szCs w:val="20"/>
          <w:lang w:eastAsia="bg-BG"/>
        </w:rPr>
        <w:t xml:space="preserve"> за участие в преговори. </w:t>
      </w:r>
    </w:p>
    <w:p w:rsidR="009033D6" w:rsidRPr="009033D6" w:rsidRDefault="009033D6" w:rsidP="00645016">
      <w:pPr>
        <w:spacing w:line="36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0"/>
          <w:lang w:eastAsia="bg-BG"/>
        </w:rPr>
        <w:t xml:space="preserve">3.2. </w:t>
      </w:r>
      <w:r w:rsidR="00D81994" w:rsidRPr="00D81994">
        <w:rPr>
          <w:rFonts w:ascii="Times New Roman" w:eastAsia="Times New Roman" w:hAnsi="Times New Roman" w:cs="Times New Roman"/>
          <w:sz w:val="24"/>
          <w:szCs w:val="20"/>
          <w:lang w:eastAsia="bg-BG"/>
        </w:rPr>
        <w:t xml:space="preserve">Абонаментно обслужване на </w:t>
      </w:r>
      <w:r w:rsidR="00D81994" w:rsidRPr="00D81994">
        <w:rPr>
          <w:rFonts w:ascii="Times New Roman" w:eastAsia="Times New Roman" w:hAnsi="Times New Roman" w:cs="Times New Roman"/>
          <w:sz w:val="24"/>
          <w:szCs w:val="20"/>
          <w:lang w:val="en-US" w:eastAsia="bg-BG"/>
        </w:rPr>
        <w:t>WEB</w:t>
      </w:r>
      <w:r w:rsidR="00D81994" w:rsidRPr="00D81994">
        <w:rPr>
          <w:rFonts w:ascii="Times New Roman" w:eastAsia="Times New Roman" w:hAnsi="Times New Roman" w:cs="Times New Roman"/>
          <w:sz w:val="24"/>
          <w:szCs w:val="20"/>
          <w:lang w:eastAsia="bg-BG"/>
        </w:rPr>
        <w:t xml:space="preserve"> приложението, подробно описано в Приложение № 1.1. – „Описание на</w:t>
      </w:r>
      <w:r w:rsidR="00D81994" w:rsidRPr="00D81994">
        <w:rPr>
          <w:rFonts w:ascii="Times New Roman" w:eastAsia="Times New Roman" w:hAnsi="Times New Roman" w:cs="Times New Roman"/>
          <w:color w:val="000000"/>
          <w:spacing w:val="1"/>
          <w:sz w:val="24"/>
          <w:szCs w:val="24"/>
        </w:rPr>
        <w:t xml:space="preserve"> </w:t>
      </w:r>
      <w:r w:rsidR="00D81994" w:rsidRPr="00D81994">
        <w:rPr>
          <w:rFonts w:ascii="Times New Roman" w:eastAsia="Times New Roman" w:hAnsi="Times New Roman" w:cs="Times New Roman"/>
          <w:sz w:val="24"/>
          <w:szCs w:val="20"/>
          <w:lang w:eastAsia="bg-BG"/>
        </w:rPr>
        <w:t>информационните технологии, осигуряващи интернет достъп до системата „Централен кредитен регистър (ЦКР) в БНБ</w:t>
      </w:r>
      <w:r w:rsidR="00D81994" w:rsidRPr="00D81994">
        <w:rPr>
          <w:rFonts w:ascii="Times New Roman" w:eastAsia="Times New Roman" w:hAnsi="Times New Roman" w:cs="Times New Roman"/>
          <w:color w:val="000000"/>
          <w:spacing w:val="1"/>
          <w:sz w:val="24"/>
          <w:szCs w:val="24"/>
        </w:rPr>
        <w:t>”</w:t>
      </w:r>
      <w:r w:rsidR="00D81994" w:rsidRPr="00D81994">
        <w:rPr>
          <w:rFonts w:ascii="Times New Roman" w:eastAsia="Times New Roman" w:hAnsi="Times New Roman" w:cs="Times New Roman"/>
          <w:sz w:val="24"/>
          <w:szCs w:val="20"/>
          <w:lang w:eastAsia="bg-BG"/>
        </w:rPr>
        <w:t xml:space="preserve"> („WEB-приложение за удостоверения на ИС на ЦКР”). Абонаментното обслужване на </w:t>
      </w:r>
      <w:r w:rsidR="00D81994" w:rsidRPr="00D81994">
        <w:rPr>
          <w:rFonts w:ascii="Times New Roman" w:eastAsia="Times New Roman" w:hAnsi="Times New Roman" w:cs="Times New Roman"/>
          <w:sz w:val="24"/>
          <w:szCs w:val="20"/>
          <w:lang w:val="en-US" w:eastAsia="bg-BG"/>
        </w:rPr>
        <w:t>WEB</w:t>
      </w:r>
      <w:r w:rsidR="00D81994" w:rsidRPr="00D81994">
        <w:rPr>
          <w:rFonts w:ascii="Times New Roman" w:eastAsia="Times New Roman" w:hAnsi="Times New Roman" w:cs="Times New Roman"/>
          <w:sz w:val="24"/>
          <w:szCs w:val="20"/>
          <w:lang w:eastAsia="bg-BG"/>
        </w:rPr>
        <w:t xml:space="preserve"> приложението се осъществява съгласно Техническата спецификация по обществена поръчка с предмет: „</w:t>
      </w:r>
      <w:r w:rsidR="00D81994" w:rsidRPr="00D81994">
        <w:rPr>
          <w:rFonts w:ascii="Times New Roman" w:eastAsia="Times New Roman" w:hAnsi="Times New Roman" w:cs="Times New Roman"/>
          <w:bCs/>
          <w:sz w:val="24"/>
          <w:szCs w:val="20"/>
          <w:lang w:eastAsia="bg-BG"/>
        </w:rPr>
        <w:t xml:space="preserve">Предоставяне на право на ползване, абонаментно обслужване и функционално развитие на информационни технологии (WЕВ приложение за справки на Централния кредитен регистър в БНБ“ (Техническата спецификация) – Приложение № 1 </w:t>
      </w:r>
      <w:r w:rsidR="00377213">
        <w:rPr>
          <w:rFonts w:ascii="Times New Roman" w:eastAsia="Times New Roman" w:hAnsi="Times New Roman" w:cs="Times New Roman"/>
          <w:bCs/>
          <w:sz w:val="24"/>
          <w:szCs w:val="20"/>
          <w:lang w:eastAsia="bg-BG"/>
        </w:rPr>
        <w:t xml:space="preserve">и </w:t>
      </w:r>
      <w:r>
        <w:rPr>
          <w:rFonts w:ascii="Times New Roman" w:eastAsia="Times New Roman" w:hAnsi="Times New Roman" w:cs="Times New Roman"/>
          <w:bCs/>
          <w:sz w:val="24"/>
          <w:szCs w:val="20"/>
          <w:lang w:eastAsia="bg-BG"/>
        </w:rPr>
        <w:t>„</w:t>
      </w:r>
      <w:r>
        <w:rPr>
          <w:rFonts w:ascii="Times New Roman" w:eastAsia="Times New Roman" w:hAnsi="Times New Roman" w:cs="Times New Roman"/>
          <w:sz w:val="24"/>
          <w:szCs w:val="24"/>
          <w:lang w:eastAsia="zh-CN"/>
        </w:rPr>
        <w:t>И</w:t>
      </w:r>
      <w:r w:rsidRPr="009033D6">
        <w:rPr>
          <w:rFonts w:ascii="Times New Roman" w:eastAsia="Times New Roman" w:hAnsi="Times New Roman" w:cs="Times New Roman"/>
          <w:sz w:val="24"/>
          <w:szCs w:val="24"/>
          <w:lang w:eastAsia="zh-CN"/>
        </w:rPr>
        <w:t>зисквания, обхват и условия за абонаментно обслужване на „WEB-приложение за удостоверения на ИС на ЦКР (</w:t>
      </w:r>
      <w:r>
        <w:rPr>
          <w:rFonts w:ascii="Times New Roman" w:eastAsia="Times New Roman" w:hAnsi="Times New Roman" w:cs="Times New Roman"/>
          <w:sz w:val="24"/>
          <w:szCs w:val="24"/>
          <w:lang w:eastAsia="zh-CN"/>
        </w:rPr>
        <w:t>П</w:t>
      </w:r>
      <w:r w:rsidRPr="009033D6">
        <w:rPr>
          <w:rFonts w:ascii="Times New Roman" w:eastAsia="Times New Roman" w:hAnsi="Times New Roman" w:cs="Times New Roman"/>
          <w:sz w:val="24"/>
          <w:szCs w:val="24"/>
          <w:lang w:eastAsia="zh-CN"/>
        </w:rPr>
        <w:t xml:space="preserve">риложението)” </w:t>
      </w:r>
      <w:r>
        <w:rPr>
          <w:rFonts w:ascii="Times New Roman" w:eastAsia="Times New Roman" w:hAnsi="Times New Roman" w:cs="Times New Roman"/>
          <w:sz w:val="24"/>
          <w:szCs w:val="24"/>
          <w:lang w:eastAsia="zh-CN"/>
        </w:rPr>
        <w:t>– Приложение № 1.3.</w:t>
      </w:r>
    </w:p>
    <w:p w:rsidR="009033D6" w:rsidRDefault="009033D6" w:rsidP="00645016">
      <w:pPr>
        <w:spacing w:after="0" w:line="360" w:lineRule="auto"/>
        <w:ind w:firstLine="709"/>
        <w:jc w:val="both"/>
        <w:rPr>
          <w:rFonts w:ascii="Times New Roman" w:eastAsia="Times New Roman" w:hAnsi="Times New Roman" w:cs="Times New Roman"/>
          <w:sz w:val="24"/>
          <w:szCs w:val="20"/>
          <w:lang w:eastAsia="bg-BG"/>
        </w:rPr>
      </w:pPr>
      <w:r>
        <w:rPr>
          <w:rFonts w:ascii="Times New Roman" w:eastAsia="Times New Roman" w:hAnsi="Times New Roman" w:cs="Times New Roman"/>
          <w:sz w:val="24"/>
          <w:szCs w:val="20"/>
          <w:lang w:eastAsia="bg-BG"/>
        </w:rPr>
        <w:t xml:space="preserve">3.3. </w:t>
      </w:r>
      <w:r w:rsidR="00D81994" w:rsidRPr="009033D6">
        <w:rPr>
          <w:rFonts w:ascii="Times New Roman" w:eastAsia="Times New Roman" w:hAnsi="Times New Roman" w:cs="Times New Roman"/>
          <w:sz w:val="24"/>
          <w:szCs w:val="20"/>
          <w:lang w:eastAsia="bg-BG"/>
        </w:rPr>
        <w:t>Проектиране, разработка, тестване</w:t>
      </w:r>
      <w:r w:rsidR="006B04D5">
        <w:rPr>
          <w:rFonts w:ascii="Times New Roman" w:eastAsia="Times New Roman" w:hAnsi="Times New Roman" w:cs="Times New Roman"/>
          <w:sz w:val="24"/>
          <w:szCs w:val="20"/>
          <w:lang w:eastAsia="bg-BG"/>
        </w:rPr>
        <w:t>,</w:t>
      </w:r>
      <w:r w:rsidR="00D81994" w:rsidRPr="009033D6">
        <w:rPr>
          <w:rFonts w:ascii="Times New Roman" w:eastAsia="Times New Roman" w:hAnsi="Times New Roman" w:cs="Times New Roman"/>
          <w:sz w:val="24"/>
          <w:szCs w:val="20"/>
          <w:lang w:eastAsia="bg-BG"/>
        </w:rPr>
        <w:t xml:space="preserve"> и подготовка за внедряване </w:t>
      </w:r>
      <w:r w:rsidR="006B04D5">
        <w:rPr>
          <w:rFonts w:ascii="Times New Roman" w:eastAsia="Times New Roman" w:hAnsi="Times New Roman" w:cs="Times New Roman"/>
          <w:sz w:val="24"/>
          <w:szCs w:val="20"/>
          <w:lang w:eastAsia="bg-BG"/>
        </w:rPr>
        <w:t xml:space="preserve">и внедряване </w:t>
      </w:r>
      <w:r w:rsidR="00D81994" w:rsidRPr="009033D6">
        <w:rPr>
          <w:rFonts w:ascii="Times New Roman" w:eastAsia="Times New Roman" w:hAnsi="Times New Roman" w:cs="Times New Roman"/>
          <w:sz w:val="24"/>
          <w:szCs w:val="20"/>
          <w:lang w:eastAsia="bg-BG"/>
        </w:rPr>
        <w:t xml:space="preserve">на изменения и допълнения („развитие/актуализации на Приложението“), свързани с функционалното развитие на </w:t>
      </w:r>
      <w:r w:rsidR="00D81994" w:rsidRPr="009033D6">
        <w:rPr>
          <w:rFonts w:ascii="Times New Roman" w:eastAsia="Times New Roman" w:hAnsi="Times New Roman" w:cs="Times New Roman"/>
          <w:sz w:val="24"/>
          <w:szCs w:val="20"/>
          <w:lang w:val="en-US" w:eastAsia="bg-BG"/>
        </w:rPr>
        <w:t>WEB</w:t>
      </w:r>
      <w:r w:rsidR="00D81994" w:rsidRPr="009033D6">
        <w:rPr>
          <w:rFonts w:ascii="Times New Roman" w:eastAsia="Times New Roman" w:hAnsi="Times New Roman" w:cs="Times New Roman"/>
          <w:sz w:val="24"/>
          <w:szCs w:val="20"/>
          <w:lang w:eastAsia="bg-BG"/>
        </w:rPr>
        <w:t xml:space="preserve"> приложението. Актуализациите ще се изв</w:t>
      </w:r>
      <w:r>
        <w:rPr>
          <w:rFonts w:ascii="Times New Roman" w:eastAsia="Times New Roman" w:hAnsi="Times New Roman" w:cs="Times New Roman"/>
          <w:sz w:val="24"/>
          <w:szCs w:val="20"/>
          <w:lang w:eastAsia="bg-BG"/>
        </w:rPr>
        <w:t>ършват съгласно Приложение № 1.2</w:t>
      </w:r>
      <w:r w:rsidR="00D81994" w:rsidRPr="009033D6">
        <w:rPr>
          <w:rFonts w:ascii="Times New Roman" w:eastAsia="Times New Roman" w:hAnsi="Times New Roman" w:cs="Times New Roman"/>
          <w:sz w:val="24"/>
          <w:szCs w:val="20"/>
          <w:lang w:eastAsia="bg-BG"/>
        </w:rPr>
        <w:t>. – „Планиран</w:t>
      </w:r>
      <w:r>
        <w:rPr>
          <w:rFonts w:ascii="Times New Roman" w:eastAsia="Times New Roman" w:hAnsi="Times New Roman" w:cs="Times New Roman"/>
          <w:sz w:val="24"/>
          <w:szCs w:val="20"/>
          <w:lang w:eastAsia="bg-BG"/>
        </w:rPr>
        <w:t>а</w:t>
      </w:r>
      <w:r w:rsidR="00D81994" w:rsidRPr="009033D6">
        <w:rPr>
          <w:rFonts w:ascii="Times New Roman" w:eastAsia="Times New Roman" w:hAnsi="Times New Roman" w:cs="Times New Roman"/>
          <w:sz w:val="24"/>
          <w:szCs w:val="20"/>
          <w:lang w:eastAsia="bg-BG"/>
        </w:rPr>
        <w:t xml:space="preserve"> нов</w:t>
      </w:r>
      <w:r>
        <w:rPr>
          <w:rFonts w:ascii="Times New Roman" w:eastAsia="Times New Roman" w:hAnsi="Times New Roman" w:cs="Times New Roman"/>
          <w:sz w:val="24"/>
          <w:szCs w:val="20"/>
          <w:lang w:eastAsia="bg-BG"/>
        </w:rPr>
        <w:t>а</w:t>
      </w:r>
      <w:r w:rsidR="00D81994" w:rsidRPr="009033D6">
        <w:rPr>
          <w:rFonts w:ascii="Times New Roman" w:eastAsia="Times New Roman" w:hAnsi="Times New Roman" w:cs="Times New Roman"/>
          <w:sz w:val="24"/>
          <w:szCs w:val="20"/>
          <w:lang w:eastAsia="bg-BG"/>
        </w:rPr>
        <w:t xml:space="preserve"> функционалност в Централен кредитен регистър</w:t>
      </w:r>
      <w:r w:rsidR="005E120C">
        <w:rPr>
          <w:rFonts w:ascii="Times New Roman" w:eastAsia="Times New Roman" w:hAnsi="Times New Roman" w:cs="Times New Roman"/>
          <w:sz w:val="24"/>
          <w:szCs w:val="20"/>
          <w:lang w:eastAsia="bg-BG"/>
        </w:rPr>
        <w:t xml:space="preserve"> </w:t>
      </w:r>
      <w:r w:rsidR="005E120C" w:rsidRPr="0053207D">
        <w:rPr>
          <w:rFonts w:ascii="Times New Roman" w:eastAsia="Times New Roman" w:hAnsi="Times New Roman" w:cs="Times New Roman"/>
          <w:sz w:val="24"/>
          <w:szCs w:val="20"/>
          <w:lang w:eastAsia="bg-BG"/>
        </w:rPr>
        <w:t xml:space="preserve"> за реализация по време на изпълнение на договора за абонаментн</w:t>
      </w:r>
      <w:r w:rsidR="005E120C">
        <w:rPr>
          <w:rFonts w:ascii="Times New Roman" w:eastAsia="Times New Roman" w:hAnsi="Times New Roman" w:cs="Times New Roman"/>
          <w:sz w:val="24"/>
          <w:szCs w:val="20"/>
          <w:lang w:eastAsia="bg-BG"/>
        </w:rPr>
        <w:t>о</w:t>
      </w:r>
      <w:r w:rsidR="005E120C" w:rsidRPr="0053207D">
        <w:rPr>
          <w:rFonts w:ascii="Times New Roman" w:eastAsia="Times New Roman" w:hAnsi="Times New Roman" w:cs="Times New Roman"/>
          <w:sz w:val="24"/>
          <w:szCs w:val="20"/>
          <w:lang w:eastAsia="bg-BG"/>
        </w:rPr>
        <w:t xml:space="preserve"> </w:t>
      </w:r>
      <w:r w:rsidR="005E120C">
        <w:rPr>
          <w:rFonts w:ascii="Times New Roman" w:eastAsia="Times New Roman" w:hAnsi="Times New Roman" w:cs="Times New Roman"/>
          <w:sz w:val="24"/>
          <w:szCs w:val="20"/>
          <w:lang w:eastAsia="bg-BG"/>
        </w:rPr>
        <w:t>обслужване</w:t>
      </w:r>
      <w:r w:rsidR="00D81994" w:rsidRPr="009033D6">
        <w:rPr>
          <w:rFonts w:ascii="Times New Roman" w:eastAsia="Times New Roman" w:hAnsi="Times New Roman" w:cs="Times New Roman"/>
          <w:sz w:val="24"/>
          <w:szCs w:val="20"/>
          <w:lang w:eastAsia="bg-BG"/>
        </w:rPr>
        <w:t>“;</w:t>
      </w:r>
    </w:p>
    <w:p w:rsidR="00D81994" w:rsidRPr="009033D6" w:rsidRDefault="009033D6" w:rsidP="00645016">
      <w:pPr>
        <w:spacing w:after="0" w:line="360" w:lineRule="auto"/>
        <w:ind w:firstLine="709"/>
        <w:jc w:val="both"/>
        <w:rPr>
          <w:rFonts w:ascii="Times New Roman" w:eastAsia="Times New Roman" w:hAnsi="Times New Roman" w:cs="Times New Roman"/>
          <w:sz w:val="24"/>
          <w:szCs w:val="20"/>
          <w:lang w:eastAsia="bg-BG"/>
        </w:rPr>
      </w:pPr>
      <w:r>
        <w:rPr>
          <w:rFonts w:ascii="Times New Roman" w:eastAsia="Times New Roman" w:hAnsi="Times New Roman" w:cs="Times New Roman"/>
          <w:sz w:val="24"/>
          <w:szCs w:val="20"/>
          <w:lang w:eastAsia="bg-BG"/>
        </w:rPr>
        <w:t xml:space="preserve">3.4. </w:t>
      </w:r>
      <w:r w:rsidR="00D81994" w:rsidRPr="009033D6">
        <w:rPr>
          <w:rFonts w:ascii="Times New Roman" w:eastAsia="Times New Roman" w:hAnsi="Times New Roman" w:cs="Times New Roman"/>
          <w:sz w:val="24"/>
          <w:szCs w:val="20"/>
          <w:lang w:eastAsia="bg-BG"/>
        </w:rPr>
        <w:t xml:space="preserve">Гаранционна поддръжка на всички актуализации на </w:t>
      </w:r>
      <w:r w:rsidR="00D81994" w:rsidRPr="009033D6">
        <w:rPr>
          <w:rFonts w:ascii="Times New Roman" w:eastAsia="Times New Roman" w:hAnsi="Times New Roman" w:cs="Times New Roman"/>
          <w:sz w:val="24"/>
          <w:szCs w:val="20"/>
          <w:lang w:val="en-US" w:eastAsia="bg-BG"/>
        </w:rPr>
        <w:t>WEB</w:t>
      </w:r>
      <w:r w:rsidR="00D81994" w:rsidRPr="009033D6">
        <w:rPr>
          <w:rFonts w:ascii="Times New Roman" w:eastAsia="Times New Roman" w:hAnsi="Times New Roman" w:cs="Times New Roman"/>
          <w:sz w:val="24"/>
          <w:szCs w:val="20"/>
          <w:lang w:eastAsia="bg-BG"/>
        </w:rPr>
        <w:t xml:space="preserve"> приложението, реализирани по т. 3</w:t>
      </w:r>
      <w:r w:rsidR="00D81994" w:rsidRPr="009033D6">
        <w:rPr>
          <w:rFonts w:ascii="Times New Roman" w:eastAsia="Times New Roman" w:hAnsi="Times New Roman" w:cs="Times New Roman"/>
          <w:sz w:val="24"/>
          <w:szCs w:val="20"/>
          <w:lang w:val="en-US" w:eastAsia="bg-BG"/>
        </w:rPr>
        <w:t>.</w:t>
      </w:r>
      <w:r w:rsidR="00D81994" w:rsidRPr="009033D6">
        <w:rPr>
          <w:rFonts w:ascii="Times New Roman" w:eastAsia="Times New Roman" w:hAnsi="Times New Roman" w:cs="Times New Roman"/>
          <w:sz w:val="24"/>
          <w:szCs w:val="20"/>
          <w:lang w:eastAsia="bg-BG"/>
        </w:rPr>
        <w:t>3, която се осъществява при условията и сроковете, посочени в договора</w:t>
      </w:r>
      <w:r>
        <w:rPr>
          <w:rFonts w:ascii="Times New Roman" w:eastAsia="Times New Roman" w:hAnsi="Times New Roman" w:cs="Times New Roman"/>
          <w:sz w:val="24"/>
          <w:szCs w:val="20"/>
          <w:lang w:eastAsia="bg-BG"/>
        </w:rPr>
        <w:t>, неразделна част от документацията за обществената поръчка</w:t>
      </w:r>
      <w:r w:rsidR="00D81994" w:rsidRPr="009033D6">
        <w:rPr>
          <w:rFonts w:ascii="Times New Roman" w:eastAsia="Times New Roman" w:hAnsi="Times New Roman" w:cs="Times New Roman"/>
          <w:sz w:val="24"/>
          <w:szCs w:val="20"/>
          <w:lang w:eastAsia="bg-BG"/>
        </w:rPr>
        <w:t>.</w:t>
      </w:r>
    </w:p>
    <w:p w:rsidR="00D81994" w:rsidRPr="00D81994" w:rsidRDefault="009033D6" w:rsidP="00645016">
      <w:pPr>
        <w:tabs>
          <w:tab w:val="left" w:pos="567"/>
          <w:tab w:val="left" w:pos="709"/>
        </w:tabs>
        <w:spacing w:after="0" w:line="360" w:lineRule="auto"/>
        <w:ind w:firstLine="709"/>
        <w:jc w:val="both"/>
        <w:rPr>
          <w:rFonts w:ascii="Times New Roman" w:eastAsia="Times New Roman" w:hAnsi="Times New Roman" w:cs="Times New Roman"/>
          <w:sz w:val="24"/>
          <w:szCs w:val="20"/>
          <w:lang w:eastAsia="bg-BG"/>
        </w:rPr>
      </w:pPr>
      <w:r>
        <w:rPr>
          <w:rFonts w:ascii="Times New Roman" w:eastAsia="Times New Roman" w:hAnsi="Times New Roman" w:cs="Times New Roman"/>
          <w:sz w:val="24"/>
          <w:szCs w:val="20"/>
          <w:lang w:eastAsia="bg-BG"/>
        </w:rPr>
        <w:t xml:space="preserve">3.5. </w:t>
      </w:r>
      <w:r w:rsidR="00D81994" w:rsidRPr="00D81994">
        <w:rPr>
          <w:rFonts w:ascii="Times New Roman" w:eastAsia="Times New Roman" w:hAnsi="Times New Roman" w:cs="Times New Roman"/>
          <w:sz w:val="24"/>
          <w:szCs w:val="20"/>
          <w:lang w:eastAsia="bg-BG"/>
        </w:rPr>
        <w:t xml:space="preserve">Абонаментно обслужване на всички актуализации на </w:t>
      </w:r>
      <w:r w:rsidR="00D81994" w:rsidRPr="00D81994">
        <w:rPr>
          <w:rFonts w:ascii="Times New Roman" w:eastAsia="Times New Roman" w:hAnsi="Times New Roman" w:cs="Times New Roman"/>
          <w:sz w:val="24"/>
          <w:szCs w:val="20"/>
          <w:lang w:val="en-US" w:eastAsia="bg-BG"/>
        </w:rPr>
        <w:t>WEB</w:t>
      </w:r>
      <w:r w:rsidR="00D81994" w:rsidRPr="00D81994">
        <w:rPr>
          <w:rFonts w:ascii="Times New Roman" w:eastAsia="Times New Roman" w:hAnsi="Times New Roman" w:cs="Times New Roman"/>
          <w:sz w:val="24"/>
          <w:szCs w:val="20"/>
          <w:lang w:eastAsia="bg-BG"/>
        </w:rPr>
        <w:t xml:space="preserve"> приложението, изпълнени по т. </w:t>
      </w:r>
      <w:r w:rsidR="00D81994">
        <w:rPr>
          <w:rFonts w:ascii="Times New Roman" w:eastAsia="Times New Roman" w:hAnsi="Times New Roman" w:cs="Times New Roman"/>
          <w:sz w:val="24"/>
          <w:szCs w:val="20"/>
          <w:lang w:eastAsia="bg-BG"/>
        </w:rPr>
        <w:t>3</w:t>
      </w:r>
      <w:r w:rsidR="00D81994" w:rsidRPr="00D81994">
        <w:rPr>
          <w:rFonts w:ascii="Times New Roman" w:eastAsia="Times New Roman" w:hAnsi="Times New Roman" w:cs="Times New Roman"/>
          <w:sz w:val="24"/>
          <w:szCs w:val="20"/>
          <w:lang w:val="en-US" w:eastAsia="bg-BG"/>
        </w:rPr>
        <w:t>.</w:t>
      </w:r>
      <w:r w:rsidR="00D81994" w:rsidRPr="00D81994">
        <w:rPr>
          <w:rFonts w:ascii="Times New Roman" w:eastAsia="Times New Roman" w:hAnsi="Times New Roman" w:cs="Times New Roman"/>
          <w:sz w:val="24"/>
          <w:szCs w:val="20"/>
          <w:lang w:eastAsia="bg-BG"/>
        </w:rPr>
        <w:t xml:space="preserve">3, като част от абонаментното обслужване по т. </w:t>
      </w:r>
      <w:r w:rsidR="00D81994">
        <w:rPr>
          <w:rFonts w:ascii="Times New Roman" w:eastAsia="Times New Roman" w:hAnsi="Times New Roman" w:cs="Times New Roman"/>
          <w:sz w:val="24"/>
          <w:szCs w:val="20"/>
          <w:lang w:eastAsia="bg-BG"/>
        </w:rPr>
        <w:t>3</w:t>
      </w:r>
      <w:r w:rsidR="00D81994" w:rsidRPr="00D81994">
        <w:rPr>
          <w:rFonts w:ascii="Times New Roman" w:eastAsia="Times New Roman" w:hAnsi="Times New Roman" w:cs="Times New Roman"/>
          <w:sz w:val="24"/>
          <w:szCs w:val="20"/>
          <w:lang w:val="en-US" w:eastAsia="bg-BG"/>
        </w:rPr>
        <w:t>.</w:t>
      </w:r>
      <w:r w:rsidR="00D81994" w:rsidRPr="00D81994">
        <w:rPr>
          <w:rFonts w:ascii="Times New Roman" w:eastAsia="Times New Roman" w:hAnsi="Times New Roman" w:cs="Times New Roman"/>
          <w:sz w:val="24"/>
          <w:szCs w:val="20"/>
          <w:lang w:eastAsia="bg-BG"/>
        </w:rPr>
        <w:t xml:space="preserve">2, след изтичане на съответния срок на гаранционна поддръжка по т. </w:t>
      </w:r>
      <w:r w:rsidR="00D81994">
        <w:rPr>
          <w:rFonts w:ascii="Times New Roman" w:eastAsia="Times New Roman" w:hAnsi="Times New Roman" w:cs="Times New Roman"/>
          <w:sz w:val="24"/>
          <w:szCs w:val="20"/>
          <w:lang w:eastAsia="bg-BG"/>
        </w:rPr>
        <w:t>3</w:t>
      </w:r>
      <w:r w:rsidR="00D81994" w:rsidRPr="00D81994">
        <w:rPr>
          <w:rFonts w:ascii="Times New Roman" w:eastAsia="Times New Roman" w:hAnsi="Times New Roman" w:cs="Times New Roman"/>
          <w:sz w:val="24"/>
          <w:szCs w:val="20"/>
          <w:lang w:val="en-US" w:eastAsia="bg-BG"/>
        </w:rPr>
        <w:t>.</w:t>
      </w:r>
      <w:r w:rsidR="00D81994" w:rsidRPr="00D81994">
        <w:rPr>
          <w:rFonts w:ascii="Times New Roman" w:eastAsia="Times New Roman" w:hAnsi="Times New Roman" w:cs="Times New Roman"/>
          <w:sz w:val="24"/>
          <w:szCs w:val="20"/>
          <w:lang w:eastAsia="bg-BG"/>
        </w:rPr>
        <w:t xml:space="preserve">4.  </w:t>
      </w:r>
    </w:p>
    <w:p w:rsidR="000B6DDD" w:rsidRPr="007E34CE" w:rsidRDefault="000B6DDD" w:rsidP="00645016">
      <w:pPr>
        <w:spacing w:after="0" w:line="360" w:lineRule="auto"/>
        <w:ind w:firstLine="709"/>
        <w:jc w:val="both"/>
        <w:rPr>
          <w:rFonts w:ascii="Times New Roman" w:hAnsi="Times New Roman" w:cs="Times New Roman"/>
          <w:b/>
          <w:bCs/>
          <w:sz w:val="24"/>
          <w:szCs w:val="24"/>
        </w:rPr>
      </w:pPr>
    </w:p>
    <w:p w:rsidR="007E34CE" w:rsidRDefault="000B6DDD" w:rsidP="00645016">
      <w:pPr>
        <w:pStyle w:val="ListParagraph"/>
        <w:numPr>
          <w:ilvl w:val="0"/>
          <w:numId w:val="2"/>
        </w:numPr>
        <w:spacing w:after="0" w:line="360" w:lineRule="auto"/>
        <w:ind w:left="0" w:firstLine="709"/>
        <w:jc w:val="both"/>
        <w:rPr>
          <w:rFonts w:ascii="Times New Roman" w:hAnsi="Times New Roman" w:cs="Times New Roman"/>
          <w:b/>
          <w:bCs/>
          <w:sz w:val="24"/>
          <w:szCs w:val="24"/>
        </w:rPr>
      </w:pPr>
      <w:r w:rsidRPr="000B6DDD">
        <w:rPr>
          <w:rFonts w:ascii="Times New Roman" w:hAnsi="Times New Roman" w:cs="Times New Roman"/>
          <w:b/>
          <w:bCs/>
          <w:sz w:val="24"/>
          <w:szCs w:val="24"/>
        </w:rPr>
        <w:t>Срок за изпълнение</w:t>
      </w:r>
      <w:r>
        <w:rPr>
          <w:rFonts w:ascii="Times New Roman" w:hAnsi="Times New Roman" w:cs="Times New Roman"/>
          <w:b/>
          <w:bCs/>
          <w:sz w:val="24"/>
          <w:szCs w:val="24"/>
        </w:rPr>
        <w:t>:</w:t>
      </w:r>
    </w:p>
    <w:p w:rsidR="007E34CE" w:rsidRPr="007E34CE" w:rsidRDefault="007E34CE" w:rsidP="00645016">
      <w:pPr>
        <w:pStyle w:val="ListParagraph"/>
        <w:numPr>
          <w:ilvl w:val="1"/>
          <w:numId w:val="2"/>
        </w:numPr>
        <w:tabs>
          <w:tab w:val="left" w:pos="851"/>
        </w:tabs>
        <w:spacing w:after="0" w:line="360" w:lineRule="auto"/>
        <w:ind w:left="0" w:firstLine="709"/>
        <w:jc w:val="both"/>
        <w:rPr>
          <w:rFonts w:ascii="Times New Roman" w:hAnsi="Times New Roman" w:cs="Times New Roman"/>
          <w:b/>
          <w:bCs/>
          <w:sz w:val="24"/>
          <w:szCs w:val="24"/>
        </w:rPr>
      </w:pPr>
      <w:r w:rsidRPr="007E34CE">
        <w:rPr>
          <w:rFonts w:ascii="Times New Roman" w:hAnsi="Times New Roman" w:cs="Times New Roman"/>
          <w:bCs/>
          <w:sz w:val="24"/>
          <w:szCs w:val="24"/>
        </w:rPr>
        <w:t>За услугите по т. 3.1. и т. 3.2.</w:t>
      </w:r>
      <w:r>
        <w:rPr>
          <w:rFonts w:ascii="Times New Roman" w:hAnsi="Times New Roman" w:cs="Times New Roman"/>
          <w:bCs/>
          <w:sz w:val="24"/>
          <w:szCs w:val="24"/>
        </w:rPr>
        <w:t>, свързани</w:t>
      </w:r>
      <w:r>
        <w:rPr>
          <w:rFonts w:ascii="Times New Roman" w:hAnsi="Times New Roman" w:cs="Times New Roman"/>
          <w:bCs/>
          <w:sz w:val="24"/>
          <w:szCs w:val="24"/>
          <w:lang w:val="en-US"/>
        </w:rPr>
        <w:t xml:space="preserve"> </w:t>
      </w:r>
      <w:r>
        <w:rPr>
          <w:rFonts w:ascii="Times New Roman" w:hAnsi="Times New Roman" w:cs="Times New Roman"/>
          <w:bCs/>
          <w:sz w:val="24"/>
          <w:szCs w:val="24"/>
        </w:rPr>
        <w:t xml:space="preserve">съответно с предоставяне на правото на ползване на и абонаментно обслужване на </w:t>
      </w:r>
      <w:r>
        <w:rPr>
          <w:rFonts w:ascii="Times New Roman" w:hAnsi="Times New Roman" w:cs="Times New Roman"/>
          <w:bCs/>
          <w:sz w:val="24"/>
          <w:szCs w:val="24"/>
          <w:lang w:val="en-US"/>
        </w:rPr>
        <w:t>WEB</w:t>
      </w:r>
      <w:r w:rsidRPr="007E34CE">
        <w:rPr>
          <w:rFonts w:ascii="Times New Roman" w:hAnsi="Times New Roman" w:cs="Times New Roman"/>
          <w:bCs/>
          <w:sz w:val="24"/>
          <w:szCs w:val="24"/>
        </w:rPr>
        <w:t xml:space="preserve"> </w:t>
      </w:r>
      <w:r>
        <w:rPr>
          <w:rFonts w:ascii="Times New Roman" w:hAnsi="Times New Roman" w:cs="Times New Roman"/>
          <w:bCs/>
          <w:sz w:val="24"/>
          <w:szCs w:val="24"/>
        </w:rPr>
        <w:t xml:space="preserve">приложението </w:t>
      </w:r>
      <w:r w:rsidRPr="007E34CE">
        <w:rPr>
          <w:rFonts w:ascii="Times New Roman" w:hAnsi="Times New Roman" w:cs="Times New Roman"/>
          <w:bCs/>
          <w:sz w:val="24"/>
          <w:szCs w:val="24"/>
        </w:rPr>
        <w:t xml:space="preserve">-  2 (две) </w:t>
      </w:r>
      <w:r w:rsidRPr="007E34CE">
        <w:rPr>
          <w:rFonts w:ascii="Times New Roman" w:hAnsi="Times New Roman" w:cs="Times New Roman"/>
          <w:bCs/>
          <w:sz w:val="24"/>
          <w:szCs w:val="24"/>
        </w:rPr>
        <w:lastRenderedPageBreak/>
        <w:t>години, считано от датата на подписване на договора между възложителя и участника, избран за изпълнител.</w:t>
      </w:r>
    </w:p>
    <w:p w:rsidR="00133995" w:rsidRPr="00AA73BE" w:rsidRDefault="007E34CE" w:rsidP="00133995">
      <w:pPr>
        <w:pStyle w:val="ListParagraph"/>
        <w:numPr>
          <w:ilvl w:val="1"/>
          <w:numId w:val="2"/>
        </w:numPr>
        <w:tabs>
          <w:tab w:val="left" w:pos="851"/>
        </w:tabs>
        <w:spacing w:after="0" w:line="360" w:lineRule="auto"/>
        <w:ind w:left="0" w:firstLine="709"/>
        <w:jc w:val="both"/>
        <w:rPr>
          <w:rFonts w:ascii="Times New Roman" w:hAnsi="Times New Roman" w:cs="Times New Roman"/>
          <w:b/>
          <w:bCs/>
          <w:sz w:val="24"/>
          <w:szCs w:val="24"/>
        </w:rPr>
      </w:pPr>
      <w:r w:rsidRPr="00630A3B">
        <w:rPr>
          <w:rFonts w:ascii="Times New Roman" w:hAnsi="Times New Roman" w:cs="Times New Roman"/>
          <w:bCs/>
          <w:sz w:val="24"/>
          <w:szCs w:val="24"/>
        </w:rPr>
        <w:t xml:space="preserve">За услугите по т. 3.3., свързани с дейностите по проектиране, разработка и внедряване на изменения и допълнения („развитие/актуализации на Приложението“) – </w:t>
      </w:r>
      <w:r w:rsidR="00630A3B" w:rsidRPr="00AA73BE">
        <w:rPr>
          <w:rFonts w:ascii="Times New Roman" w:hAnsi="Times New Roman" w:cs="Times New Roman"/>
          <w:bCs/>
          <w:sz w:val="24"/>
          <w:szCs w:val="24"/>
        </w:rPr>
        <w:t xml:space="preserve">до </w:t>
      </w:r>
      <w:r w:rsidR="00064B18" w:rsidRPr="00630A3B">
        <w:rPr>
          <w:rFonts w:ascii="Times New Roman" w:hAnsi="Times New Roman" w:cs="Times New Roman"/>
          <w:bCs/>
          <w:sz w:val="24"/>
          <w:szCs w:val="24"/>
        </w:rPr>
        <w:t>2 (две) години, считано от датата на подписване на договора между възложителя и участника, избран за изпълнител</w:t>
      </w:r>
      <w:r w:rsidR="00133995" w:rsidRPr="00AA73BE">
        <w:rPr>
          <w:rFonts w:ascii="Times New Roman" w:hAnsi="Times New Roman" w:cs="Times New Roman"/>
          <w:bCs/>
          <w:sz w:val="24"/>
          <w:szCs w:val="24"/>
        </w:rPr>
        <w:t xml:space="preserve">. </w:t>
      </w:r>
    </w:p>
    <w:p w:rsidR="00133995" w:rsidRPr="00AA73BE" w:rsidRDefault="00AA73BE" w:rsidP="00AA73BE">
      <w:pPr>
        <w:pStyle w:val="BodyText2"/>
        <w:tabs>
          <w:tab w:val="left" w:pos="567"/>
        </w:tabs>
        <w:spacing w:before="0" w:after="0" w:line="360" w:lineRule="auto"/>
        <w:ind w:firstLine="0"/>
        <w:rPr>
          <w:rFonts w:eastAsiaTheme="minorHAnsi"/>
          <w:bCs/>
          <w:szCs w:val="24"/>
          <w:lang w:eastAsia="en-US"/>
        </w:rPr>
      </w:pPr>
      <w:r>
        <w:rPr>
          <w:rFonts w:eastAsiaTheme="minorHAnsi"/>
          <w:b/>
          <w:bCs/>
          <w:szCs w:val="24"/>
          <w:lang w:eastAsia="en-US"/>
        </w:rPr>
        <w:tab/>
      </w:r>
      <w:r w:rsidR="00133995" w:rsidRPr="00AA73BE">
        <w:rPr>
          <w:rFonts w:eastAsiaTheme="minorHAnsi"/>
          <w:bCs/>
          <w:szCs w:val="24"/>
          <w:lang w:eastAsia="en-US"/>
        </w:rPr>
        <w:t>Сроковете за извършване на конкретните актуализации се определят, както следва:</w:t>
      </w:r>
    </w:p>
    <w:p w:rsidR="00AA73BE" w:rsidRDefault="00133995" w:rsidP="00AA73BE">
      <w:pPr>
        <w:pStyle w:val="ListParagraph"/>
        <w:numPr>
          <w:ilvl w:val="0"/>
          <w:numId w:val="6"/>
        </w:numPr>
        <w:shd w:val="clear" w:color="auto" w:fill="FFFFFF"/>
        <w:tabs>
          <w:tab w:val="left" w:pos="993"/>
        </w:tabs>
        <w:spacing w:after="0" w:line="360" w:lineRule="auto"/>
        <w:ind w:left="0" w:firstLine="567"/>
        <w:jc w:val="both"/>
        <w:rPr>
          <w:rFonts w:ascii="Times New Roman" w:hAnsi="Times New Roman" w:cs="Times New Roman"/>
          <w:bCs/>
          <w:sz w:val="24"/>
          <w:szCs w:val="24"/>
        </w:rPr>
      </w:pPr>
      <w:r w:rsidRPr="00AA73BE">
        <w:rPr>
          <w:rFonts w:ascii="Times New Roman" w:hAnsi="Times New Roman" w:cs="Times New Roman"/>
          <w:bCs/>
          <w:sz w:val="24"/>
          <w:szCs w:val="24"/>
        </w:rPr>
        <w:t>за актуализациите по т. I. Доработки, оптимизиращи процеса на работа, т.т.</w:t>
      </w:r>
      <w:r w:rsidR="00630A3B" w:rsidRPr="00AA73BE">
        <w:rPr>
          <w:rFonts w:ascii="Times New Roman" w:hAnsi="Times New Roman" w:cs="Times New Roman"/>
          <w:bCs/>
          <w:sz w:val="24"/>
          <w:szCs w:val="24"/>
        </w:rPr>
        <w:t> </w:t>
      </w:r>
      <w:r w:rsidRPr="00AA73BE">
        <w:rPr>
          <w:rFonts w:ascii="Times New Roman" w:hAnsi="Times New Roman" w:cs="Times New Roman"/>
          <w:bCs/>
          <w:sz w:val="24"/>
          <w:szCs w:val="24"/>
        </w:rPr>
        <w:t xml:space="preserve">4, 6, 7, и 9, съгласно Приложение № 1.2 – до </w:t>
      </w:r>
      <w:r w:rsidR="001D5F83">
        <w:rPr>
          <w:rFonts w:ascii="Times New Roman" w:hAnsi="Times New Roman" w:cs="Times New Roman"/>
          <w:bCs/>
          <w:sz w:val="24"/>
          <w:szCs w:val="24"/>
        </w:rPr>
        <w:t>3</w:t>
      </w:r>
      <w:r w:rsidR="001D5F83" w:rsidRPr="00AA73BE">
        <w:rPr>
          <w:rFonts w:ascii="Times New Roman" w:hAnsi="Times New Roman" w:cs="Times New Roman"/>
          <w:bCs/>
          <w:sz w:val="24"/>
          <w:szCs w:val="24"/>
        </w:rPr>
        <w:t xml:space="preserve"> </w:t>
      </w:r>
      <w:r w:rsidRPr="00AA73BE">
        <w:rPr>
          <w:rFonts w:ascii="Times New Roman" w:hAnsi="Times New Roman" w:cs="Times New Roman"/>
          <w:bCs/>
          <w:sz w:val="24"/>
          <w:szCs w:val="24"/>
        </w:rPr>
        <w:t>месеца след  получаване на писмена заявка от Възложителя;</w:t>
      </w:r>
    </w:p>
    <w:p w:rsidR="00AA73BE" w:rsidRDefault="00133995" w:rsidP="00AA73BE">
      <w:pPr>
        <w:pStyle w:val="ListParagraph"/>
        <w:numPr>
          <w:ilvl w:val="0"/>
          <w:numId w:val="6"/>
        </w:numPr>
        <w:shd w:val="clear" w:color="auto" w:fill="FFFFFF"/>
        <w:tabs>
          <w:tab w:val="left" w:pos="993"/>
        </w:tabs>
        <w:spacing w:after="0" w:line="360" w:lineRule="auto"/>
        <w:ind w:left="0" w:firstLine="567"/>
        <w:jc w:val="both"/>
        <w:rPr>
          <w:rFonts w:ascii="Times New Roman" w:hAnsi="Times New Roman" w:cs="Times New Roman"/>
          <w:bCs/>
          <w:sz w:val="24"/>
          <w:szCs w:val="24"/>
        </w:rPr>
      </w:pPr>
      <w:r w:rsidRPr="00AA73BE">
        <w:rPr>
          <w:rFonts w:ascii="Times New Roman" w:hAnsi="Times New Roman" w:cs="Times New Roman"/>
          <w:bCs/>
          <w:sz w:val="24"/>
          <w:szCs w:val="24"/>
        </w:rPr>
        <w:t>за актуализациите по т. II. Електронни фактури, съгласно Приложе</w:t>
      </w:r>
      <w:r w:rsidR="00630A3B" w:rsidRPr="00AA73BE">
        <w:rPr>
          <w:rFonts w:ascii="Times New Roman" w:hAnsi="Times New Roman" w:cs="Times New Roman"/>
          <w:bCs/>
          <w:sz w:val="24"/>
          <w:szCs w:val="24"/>
        </w:rPr>
        <w:t>ние № 1.2 - до 3 месеца</w:t>
      </w:r>
      <w:r w:rsidRPr="00AA73BE">
        <w:rPr>
          <w:rFonts w:ascii="Times New Roman" w:hAnsi="Times New Roman" w:cs="Times New Roman"/>
          <w:bCs/>
          <w:sz w:val="24"/>
          <w:szCs w:val="24"/>
        </w:rPr>
        <w:t xml:space="preserve"> след  получаване на писмена заявка от Възложителя; </w:t>
      </w:r>
    </w:p>
    <w:p w:rsidR="00AF7110" w:rsidRDefault="00475AB9" w:rsidP="00AF7110">
      <w:pPr>
        <w:pStyle w:val="ListParagraph"/>
        <w:numPr>
          <w:ilvl w:val="0"/>
          <w:numId w:val="6"/>
        </w:numPr>
        <w:shd w:val="clear" w:color="auto" w:fill="FFFFFF"/>
        <w:tabs>
          <w:tab w:val="left" w:pos="993"/>
        </w:tabs>
        <w:spacing w:after="0" w:line="360" w:lineRule="auto"/>
        <w:ind w:left="0" w:firstLine="567"/>
        <w:jc w:val="both"/>
        <w:rPr>
          <w:rFonts w:ascii="Times New Roman" w:hAnsi="Times New Roman" w:cs="Times New Roman"/>
          <w:bCs/>
          <w:sz w:val="24"/>
          <w:szCs w:val="24"/>
        </w:rPr>
      </w:pPr>
      <w:r w:rsidRPr="00542936">
        <w:rPr>
          <w:rFonts w:ascii="Times New Roman" w:hAnsi="Times New Roman" w:cs="Times New Roman"/>
          <w:bCs/>
          <w:sz w:val="24"/>
          <w:szCs w:val="24"/>
        </w:rPr>
        <w:t>за актуализациите по т. II</w:t>
      </w:r>
      <w:r w:rsidRPr="00542936">
        <w:rPr>
          <w:rFonts w:ascii="Times New Roman" w:hAnsi="Times New Roman" w:cs="Times New Roman"/>
          <w:bCs/>
          <w:sz w:val="24"/>
          <w:szCs w:val="24"/>
          <w:lang w:val="en-US"/>
        </w:rPr>
        <w:t>I</w:t>
      </w:r>
      <w:r w:rsidRPr="00542936">
        <w:rPr>
          <w:rFonts w:ascii="Times New Roman" w:hAnsi="Times New Roman" w:cs="Times New Roman"/>
          <w:bCs/>
          <w:sz w:val="24"/>
          <w:szCs w:val="24"/>
        </w:rPr>
        <w:t xml:space="preserve">. Административни електронни услуги, съгласно Приложение № 1.2 - до </w:t>
      </w:r>
      <w:r w:rsidR="001D5F83">
        <w:rPr>
          <w:rFonts w:ascii="Times New Roman" w:hAnsi="Times New Roman" w:cs="Times New Roman"/>
          <w:bCs/>
          <w:sz w:val="24"/>
          <w:szCs w:val="24"/>
        </w:rPr>
        <w:t>2</w:t>
      </w:r>
      <w:r w:rsidRPr="00542936">
        <w:rPr>
          <w:rFonts w:ascii="Times New Roman" w:hAnsi="Times New Roman" w:cs="Times New Roman"/>
          <w:bCs/>
          <w:sz w:val="24"/>
          <w:szCs w:val="24"/>
        </w:rPr>
        <w:t xml:space="preserve"> месеца след  получаване на писмена заявка от Възложителя;</w:t>
      </w:r>
      <w:r w:rsidR="00AF7110" w:rsidRPr="00AF7110">
        <w:rPr>
          <w:rFonts w:ascii="Times New Roman" w:hAnsi="Times New Roman" w:cs="Times New Roman"/>
          <w:bCs/>
          <w:sz w:val="24"/>
          <w:szCs w:val="24"/>
        </w:rPr>
        <w:t xml:space="preserve"> </w:t>
      </w:r>
    </w:p>
    <w:p w:rsidR="001D5F83" w:rsidRDefault="001D5F83" w:rsidP="001D5F83">
      <w:pPr>
        <w:pStyle w:val="ListParagraph"/>
        <w:numPr>
          <w:ilvl w:val="0"/>
          <w:numId w:val="6"/>
        </w:numPr>
        <w:shd w:val="clear" w:color="auto" w:fill="FFFFFF"/>
        <w:tabs>
          <w:tab w:val="left" w:pos="993"/>
        </w:tabs>
        <w:spacing w:after="0" w:line="360" w:lineRule="auto"/>
        <w:ind w:left="0" w:firstLine="567"/>
        <w:jc w:val="both"/>
        <w:rPr>
          <w:rFonts w:ascii="Times New Roman" w:hAnsi="Times New Roman" w:cs="Times New Roman"/>
          <w:bCs/>
          <w:sz w:val="24"/>
          <w:szCs w:val="24"/>
        </w:rPr>
      </w:pPr>
      <w:r>
        <w:rPr>
          <w:rFonts w:ascii="Times New Roman" w:hAnsi="Times New Roman" w:cs="Times New Roman"/>
          <w:bCs/>
          <w:sz w:val="24"/>
          <w:szCs w:val="24"/>
        </w:rPr>
        <w:t xml:space="preserve">за актуализациите по т. </w:t>
      </w:r>
      <w:r w:rsidRPr="00232FC2">
        <w:rPr>
          <w:rFonts w:ascii="Times New Roman" w:hAnsi="Times New Roman" w:cs="Times New Roman"/>
          <w:bCs/>
          <w:sz w:val="24"/>
          <w:szCs w:val="24"/>
        </w:rPr>
        <w:t>IV. Доработки, свързани с привеждане на ЦКР в съответствие с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относно свободното движение на такива данни</w:t>
      </w:r>
      <w:r>
        <w:rPr>
          <w:rFonts w:ascii="Times New Roman" w:hAnsi="Times New Roman" w:cs="Times New Roman"/>
          <w:bCs/>
          <w:sz w:val="24"/>
          <w:szCs w:val="24"/>
        </w:rPr>
        <w:t>,</w:t>
      </w:r>
      <w:r w:rsidRPr="00232FC2">
        <w:rPr>
          <w:rFonts w:ascii="Times New Roman" w:hAnsi="Times New Roman" w:cs="Times New Roman"/>
          <w:bCs/>
          <w:sz w:val="24"/>
          <w:szCs w:val="24"/>
        </w:rPr>
        <w:t xml:space="preserve"> </w:t>
      </w:r>
      <w:r w:rsidRPr="00790B47">
        <w:rPr>
          <w:rFonts w:ascii="Times New Roman" w:hAnsi="Times New Roman" w:cs="Times New Roman"/>
          <w:bCs/>
          <w:sz w:val="24"/>
          <w:szCs w:val="24"/>
        </w:rPr>
        <w:t>с</w:t>
      </w:r>
      <w:r>
        <w:rPr>
          <w:rFonts w:ascii="Times New Roman" w:hAnsi="Times New Roman" w:cs="Times New Roman"/>
          <w:bCs/>
          <w:sz w:val="24"/>
          <w:szCs w:val="24"/>
        </w:rPr>
        <w:t xml:space="preserve">ъгласно Приложение № 1.2 – до 4 </w:t>
      </w:r>
      <w:r w:rsidRPr="00790B47">
        <w:rPr>
          <w:rFonts w:ascii="Times New Roman" w:hAnsi="Times New Roman" w:cs="Times New Roman"/>
          <w:bCs/>
          <w:sz w:val="24"/>
          <w:szCs w:val="24"/>
        </w:rPr>
        <w:t>месеца след  получаване на писмена заявка от Възложителя;</w:t>
      </w:r>
    </w:p>
    <w:p w:rsidR="00AA73BE" w:rsidRPr="00AA73BE" w:rsidRDefault="00133995" w:rsidP="00AA73BE">
      <w:pPr>
        <w:pStyle w:val="ListParagraph"/>
        <w:numPr>
          <w:ilvl w:val="0"/>
          <w:numId w:val="6"/>
        </w:numPr>
        <w:shd w:val="clear" w:color="auto" w:fill="FFFFFF"/>
        <w:tabs>
          <w:tab w:val="left" w:pos="993"/>
        </w:tabs>
        <w:spacing w:after="0" w:line="360" w:lineRule="auto"/>
        <w:ind w:left="0" w:firstLine="567"/>
        <w:jc w:val="both"/>
        <w:rPr>
          <w:rFonts w:ascii="Times New Roman" w:hAnsi="Times New Roman" w:cs="Times New Roman"/>
          <w:bCs/>
          <w:sz w:val="24"/>
          <w:szCs w:val="24"/>
        </w:rPr>
      </w:pPr>
      <w:r w:rsidRPr="00AA73BE">
        <w:rPr>
          <w:rFonts w:ascii="Times New Roman" w:hAnsi="Times New Roman" w:cs="Times New Roman"/>
          <w:bCs/>
          <w:sz w:val="24"/>
          <w:szCs w:val="24"/>
        </w:rPr>
        <w:t>за актуализациите по т. V. Съдлъжници и поръчители/авалисти, съгласно Приложени</w:t>
      </w:r>
      <w:r w:rsidR="00AA73BE">
        <w:rPr>
          <w:rFonts w:ascii="Times New Roman" w:hAnsi="Times New Roman" w:cs="Times New Roman"/>
          <w:bCs/>
          <w:sz w:val="24"/>
          <w:szCs w:val="24"/>
        </w:rPr>
        <w:t xml:space="preserve">е № 1.2 – </w:t>
      </w:r>
      <w:r w:rsidR="00630A3B" w:rsidRPr="00AA73BE">
        <w:rPr>
          <w:rFonts w:ascii="Times New Roman" w:hAnsi="Times New Roman" w:cs="Times New Roman"/>
          <w:bCs/>
          <w:sz w:val="24"/>
          <w:szCs w:val="24"/>
        </w:rPr>
        <w:t>до 3 месеца</w:t>
      </w:r>
      <w:r w:rsidRPr="00AA73BE">
        <w:rPr>
          <w:rFonts w:ascii="Times New Roman" w:hAnsi="Times New Roman" w:cs="Times New Roman"/>
          <w:bCs/>
          <w:sz w:val="24"/>
          <w:szCs w:val="24"/>
        </w:rPr>
        <w:t xml:space="preserve"> след  получаване на писмена заявка от Възложителя; </w:t>
      </w:r>
    </w:p>
    <w:p w:rsidR="00133995" w:rsidRPr="00AA73BE" w:rsidRDefault="00133995" w:rsidP="00AA73BE">
      <w:pPr>
        <w:pStyle w:val="ListParagraph"/>
        <w:numPr>
          <w:ilvl w:val="0"/>
          <w:numId w:val="6"/>
        </w:numPr>
        <w:shd w:val="clear" w:color="auto" w:fill="FFFFFF"/>
        <w:tabs>
          <w:tab w:val="left" w:pos="993"/>
        </w:tabs>
        <w:spacing w:after="0" w:line="360" w:lineRule="auto"/>
        <w:ind w:left="0" w:firstLine="567"/>
        <w:jc w:val="both"/>
        <w:rPr>
          <w:rFonts w:ascii="Times New Roman" w:hAnsi="Times New Roman" w:cs="Times New Roman"/>
          <w:bCs/>
          <w:sz w:val="24"/>
          <w:szCs w:val="24"/>
        </w:rPr>
      </w:pPr>
      <w:r w:rsidRPr="00AA73BE">
        <w:rPr>
          <w:rFonts w:ascii="Times New Roman" w:hAnsi="Times New Roman" w:cs="Times New Roman"/>
          <w:bCs/>
          <w:sz w:val="24"/>
          <w:szCs w:val="24"/>
        </w:rPr>
        <w:t>за актуализациите по т. VI. Нови органи и институ</w:t>
      </w:r>
      <w:r w:rsidR="00AA73BE">
        <w:rPr>
          <w:rFonts w:ascii="Times New Roman" w:hAnsi="Times New Roman" w:cs="Times New Roman"/>
          <w:bCs/>
          <w:sz w:val="24"/>
          <w:szCs w:val="24"/>
        </w:rPr>
        <w:t>ции, съгласно Приложение № 1.2 –</w:t>
      </w:r>
      <w:r w:rsidRPr="00AA73BE">
        <w:rPr>
          <w:rFonts w:ascii="Times New Roman" w:hAnsi="Times New Roman" w:cs="Times New Roman"/>
          <w:bCs/>
          <w:sz w:val="24"/>
          <w:szCs w:val="24"/>
        </w:rPr>
        <w:t xml:space="preserve"> до </w:t>
      </w:r>
      <w:r w:rsidR="001D5F83">
        <w:rPr>
          <w:rFonts w:ascii="Times New Roman" w:hAnsi="Times New Roman" w:cs="Times New Roman"/>
          <w:bCs/>
          <w:sz w:val="24"/>
          <w:szCs w:val="24"/>
        </w:rPr>
        <w:t>3</w:t>
      </w:r>
      <w:r w:rsidR="001D5F83" w:rsidRPr="00AA73BE">
        <w:rPr>
          <w:rFonts w:ascii="Times New Roman" w:hAnsi="Times New Roman" w:cs="Times New Roman"/>
          <w:bCs/>
          <w:sz w:val="24"/>
          <w:szCs w:val="24"/>
        </w:rPr>
        <w:t xml:space="preserve"> </w:t>
      </w:r>
      <w:r w:rsidRPr="00AA73BE">
        <w:rPr>
          <w:rFonts w:ascii="Times New Roman" w:hAnsi="Times New Roman" w:cs="Times New Roman"/>
          <w:bCs/>
          <w:sz w:val="24"/>
          <w:szCs w:val="24"/>
        </w:rPr>
        <w:t xml:space="preserve">месеца  след  получаване на писмена заявка от Възложителя; </w:t>
      </w:r>
    </w:p>
    <w:p w:rsidR="00064B18" w:rsidRPr="00630A3B" w:rsidRDefault="00645016" w:rsidP="00AA73BE">
      <w:pPr>
        <w:pStyle w:val="ListParagraph"/>
        <w:numPr>
          <w:ilvl w:val="0"/>
          <w:numId w:val="5"/>
        </w:numPr>
        <w:tabs>
          <w:tab w:val="left" w:pos="709"/>
          <w:tab w:val="left" w:pos="851"/>
        </w:tabs>
        <w:spacing w:after="0" w:line="360" w:lineRule="auto"/>
        <w:ind w:left="0" w:firstLine="709"/>
        <w:jc w:val="both"/>
        <w:rPr>
          <w:rFonts w:ascii="Times New Roman" w:hAnsi="Times New Roman" w:cs="Times New Roman"/>
          <w:bCs/>
          <w:sz w:val="24"/>
          <w:szCs w:val="24"/>
        </w:rPr>
      </w:pPr>
      <w:r w:rsidRPr="00630A3B">
        <w:rPr>
          <w:rFonts w:ascii="Times New Roman" w:hAnsi="Times New Roman" w:cs="Times New Roman"/>
          <w:bCs/>
          <w:sz w:val="24"/>
          <w:szCs w:val="24"/>
        </w:rPr>
        <w:t xml:space="preserve">4.3. </w:t>
      </w:r>
      <w:r w:rsidR="00064B18" w:rsidRPr="00630A3B">
        <w:rPr>
          <w:rFonts w:ascii="Times New Roman" w:hAnsi="Times New Roman" w:cs="Times New Roman"/>
          <w:bCs/>
          <w:sz w:val="24"/>
          <w:szCs w:val="24"/>
        </w:rPr>
        <w:t xml:space="preserve">За услугите по 3.4., свързани с гаранционната поддръжка на всички актуализации по т. 3.3 – 1 (една) година. </w:t>
      </w:r>
    </w:p>
    <w:p w:rsidR="00087DFD" w:rsidRPr="003611AD" w:rsidRDefault="00064B18" w:rsidP="00AA73BE">
      <w:pPr>
        <w:pStyle w:val="ListParagraph"/>
        <w:tabs>
          <w:tab w:val="left" w:pos="993"/>
        </w:tabs>
        <w:spacing w:after="0" w:line="360" w:lineRule="auto"/>
        <w:ind w:left="0" w:firstLine="709"/>
        <w:jc w:val="both"/>
        <w:rPr>
          <w:rFonts w:ascii="Times New Roman" w:hAnsi="Times New Roman"/>
          <w:sz w:val="24"/>
          <w:szCs w:val="24"/>
        </w:rPr>
      </w:pPr>
      <w:r w:rsidRPr="003611AD">
        <w:rPr>
          <w:rFonts w:ascii="Times New Roman" w:hAnsi="Times New Roman"/>
          <w:sz w:val="24"/>
          <w:szCs w:val="24"/>
        </w:rPr>
        <w:t xml:space="preserve">Гаранционният срок на актуализациите започва да тече от датата на тяхното приемане, удостоверена с подписване на съответния двустранен предавателно-приемателен протокол по чл. </w:t>
      </w:r>
      <w:r w:rsidR="003611AD" w:rsidRPr="003611AD">
        <w:rPr>
          <w:rFonts w:ascii="Times New Roman" w:hAnsi="Times New Roman"/>
          <w:sz w:val="24"/>
          <w:szCs w:val="24"/>
        </w:rPr>
        <w:t>29</w:t>
      </w:r>
      <w:r w:rsidRPr="003611AD">
        <w:rPr>
          <w:rFonts w:ascii="Times New Roman" w:hAnsi="Times New Roman"/>
          <w:sz w:val="24"/>
          <w:szCs w:val="24"/>
        </w:rPr>
        <w:t xml:space="preserve"> от проекта на договор, неразделна част от документацията за участие. След изтичане на съответния срок на гаранционната поддръжка, избраният за изпълнител участник се задължава да предоставя за актуализациите абонаментно обслужване до изтичане на срока за абонаментното обслужване, описан в 4.1.</w:t>
      </w:r>
    </w:p>
    <w:p w:rsidR="000F4F5A" w:rsidRPr="000F4F5A" w:rsidRDefault="000F4F5A" w:rsidP="00AA73BE">
      <w:pPr>
        <w:tabs>
          <w:tab w:val="left" w:pos="993"/>
        </w:tabs>
        <w:spacing w:after="0" w:line="360" w:lineRule="auto"/>
        <w:ind w:firstLine="709"/>
        <w:jc w:val="both"/>
        <w:rPr>
          <w:rFonts w:ascii="Times New Roman" w:hAnsi="Times New Roman" w:cs="Times New Roman"/>
          <w:bCs/>
          <w:sz w:val="24"/>
          <w:szCs w:val="24"/>
        </w:rPr>
      </w:pPr>
    </w:p>
    <w:p w:rsidR="00645676" w:rsidRPr="00645676" w:rsidRDefault="000B6DDD" w:rsidP="00645016">
      <w:pPr>
        <w:pStyle w:val="ListParagraph"/>
        <w:numPr>
          <w:ilvl w:val="0"/>
          <w:numId w:val="2"/>
        </w:numPr>
        <w:spacing w:after="0" w:line="360" w:lineRule="auto"/>
        <w:ind w:left="0" w:firstLine="709"/>
        <w:jc w:val="both"/>
        <w:rPr>
          <w:rFonts w:ascii="Times New Roman" w:hAnsi="Times New Roman" w:cs="Times New Roman"/>
          <w:bCs/>
          <w:sz w:val="24"/>
          <w:szCs w:val="24"/>
        </w:rPr>
      </w:pPr>
      <w:r w:rsidRPr="000B6DDD">
        <w:rPr>
          <w:rFonts w:ascii="Times New Roman" w:hAnsi="Times New Roman" w:cs="Times New Roman"/>
          <w:b/>
          <w:bCs/>
          <w:sz w:val="24"/>
          <w:szCs w:val="24"/>
        </w:rPr>
        <w:t>Място на изпълнение</w:t>
      </w:r>
      <w:r>
        <w:rPr>
          <w:rFonts w:ascii="Times New Roman" w:hAnsi="Times New Roman" w:cs="Times New Roman"/>
          <w:b/>
          <w:bCs/>
          <w:sz w:val="24"/>
          <w:szCs w:val="24"/>
        </w:rPr>
        <w:t>:</w:t>
      </w:r>
      <w:r w:rsidR="00645676">
        <w:rPr>
          <w:rFonts w:ascii="Times New Roman" w:hAnsi="Times New Roman" w:cs="Times New Roman"/>
          <w:b/>
          <w:bCs/>
          <w:sz w:val="24"/>
          <w:szCs w:val="24"/>
        </w:rPr>
        <w:t xml:space="preserve"> </w:t>
      </w:r>
    </w:p>
    <w:p w:rsidR="000B6DDD" w:rsidRPr="00645676" w:rsidRDefault="00645676" w:rsidP="00645016">
      <w:pPr>
        <w:spacing w:after="0" w:line="360" w:lineRule="auto"/>
        <w:ind w:firstLine="709"/>
        <w:jc w:val="both"/>
        <w:rPr>
          <w:rFonts w:ascii="Times New Roman" w:hAnsi="Times New Roman" w:cs="Times New Roman"/>
          <w:bCs/>
          <w:sz w:val="24"/>
          <w:szCs w:val="24"/>
        </w:rPr>
      </w:pPr>
      <w:r w:rsidRPr="00645676">
        <w:rPr>
          <w:rFonts w:ascii="Times New Roman" w:hAnsi="Times New Roman" w:cs="Times New Roman"/>
          <w:bCs/>
          <w:sz w:val="24"/>
          <w:szCs w:val="24"/>
        </w:rPr>
        <w:t>Услугите, свързани с „Предоставяне на право на ползване, абонаментно обслужване и функционално развитие на информационни технологии (WЕВ приложение за справки на Централния кредитен регистър в БНБ)“ ще се извършват в сградата на Възложителя, находяща се в гр. София, пл. „Княз Александър I“ № 1.</w:t>
      </w:r>
    </w:p>
    <w:p w:rsidR="000B6DDD" w:rsidRDefault="000B6DDD" w:rsidP="00645016">
      <w:pPr>
        <w:spacing w:after="0" w:line="360" w:lineRule="auto"/>
        <w:ind w:firstLine="709"/>
        <w:jc w:val="center"/>
        <w:rPr>
          <w:rFonts w:ascii="Times New Roman" w:hAnsi="Times New Roman" w:cs="Times New Roman"/>
          <w:bCs/>
          <w:sz w:val="24"/>
          <w:szCs w:val="24"/>
        </w:rPr>
      </w:pPr>
    </w:p>
    <w:p w:rsidR="000B6DDD" w:rsidRPr="000B6DDD" w:rsidRDefault="000B6DDD" w:rsidP="00645016">
      <w:pPr>
        <w:spacing w:after="0" w:line="360" w:lineRule="auto"/>
        <w:ind w:firstLine="709"/>
        <w:jc w:val="both"/>
        <w:rPr>
          <w:rFonts w:ascii="Times New Roman" w:hAnsi="Times New Roman" w:cs="Times New Roman"/>
          <w:b/>
          <w:bCs/>
          <w:sz w:val="24"/>
          <w:szCs w:val="24"/>
        </w:rPr>
      </w:pPr>
      <w:r w:rsidRPr="000B6DDD">
        <w:rPr>
          <w:rFonts w:ascii="Times New Roman" w:hAnsi="Times New Roman" w:cs="Times New Roman"/>
          <w:b/>
          <w:bCs/>
          <w:sz w:val="24"/>
          <w:szCs w:val="24"/>
        </w:rPr>
        <w:t>ПРИЛОЖЕНИЕ:</w:t>
      </w:r>
    </w:p>
    <w:p w:rsidR="00645016" w:rsidRDefault="00645016" w:rsidP="00645016">
      <w:pPr>
        <w:pStyle w:val="ListParagraph"/>
        <w:numPr>
          <w:ilvl w:val="0"/>
          <w:numId w:val="1"/>
        </w:numPr>
        <w:tabs>
          <w:tab w:val="left" w:pos="0"/>
          <w:tab w:val="left" w:pos="284"/>
          <w:tab w:val="left" w:pos="1134"/>
        </w:tabs>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w:t>
      </w:r>
      <w:r w:rsidR="000B6DDD" w:rsidRPr="000B6DDD">
        <w:rPr>
          <w:rFonts w:ascii="Times New Roman" w:hAnsi="Times New Roman" w:cs="Times New Roman"/>
          <w:sz w:val="24"/>
          <w:szCs w:val="24"/>
        </w:rPr>
        <w:t>Описание н</w:t>
      </w:r>
      <w:r w:rsidR="00C069AB" w:rsidRPr="000B6DDD">
        <w:rPr>
          <w:rFonts w:ascii="Times New Roman" w:hAnsi="Times New Roman" w:cs="Times New Roman"/>
          <w:sz w:val="24"/>
          <w:szCs w:val="24"/>
        </w:rPr>
        <w:t>а</w:t>
      </w:r>
      <w:r w:rsidR="00645676" w:rsidRPr="000B6DDD">
        <w:rPr>
          <w:rFonts w:ascii="Times New Roman" w:hAnsi="Times New Roman" w:cs="Times New Roman"/>
          <w:sz w:val="24"/>
          <w:szCs w:val="24"/>
        </w:rPr>
        <w:t xml:space="preserve"> </w:t>
      </w:r>
      <w:r w:rsidR="00C069AB" w:rsidRPr="000B6DDD">
        <w:rPr>
          <w:rFonts w:ascii="Times New Roman" w:hAnsi="Times New Roman" w:cs="Times New Roman"/>
          <w:sz w:val="24"/>
          <w:szCs w:val="24"/>
        </w:rPr>
        <w:t>информационните технологии,  осигуряващи интернет достъп до системата „</w:t>
      </w:r>
      <w:r w:rsidR="000B6DDD" w:rsidRPr="000B6DDD">
        <w:rPr>
          <w:rFonts w:ascii="Times New Roman" w:hAnsi="Times New Roman" w:cs="Times New Roman"/>
          <w:sz w:val="24"/>
          <w:szCs w:val="24"/>
        </w:rPr>
        <w:t>Ц</w:t>
      </w:r>
      <w:r w:rsidR="00C069AB" w:rsidRPr="000B6DDD">
        <w:rPr>
          <w:rFonts w:ascii="Times New Roman" w:hAnsi="Times New Roman" w:cs="Times New Roman"/>
          <w:sz w:val="24"/>
          <w:szCs w:val="24"/>
        </w:rPr>
        <w:t>ентрален кредитен регистър (</w:t>
      </w:r>
      <w:r w:rsidR="000B6DDD" w:rsidRPr="000B6DDD">
        <w:rPr>
          <w:rFonts w:ascii="Times New Roman" w:hAnsi="Times New Roman" w:cs="Times New Roman"/>
          <w:sz w:val="24"/>
          <w:szCs w:val="24"/>
        </w:rPr>
        <w:t>ЦКР</w:t>
      </w:r>
      <w:r w:rsidR="00C069AB" w:rsidRPr="000B6DDD">
        <w:rPr>
          <w:rFonts w:ascii="Times New Roman" w:hAnsi="Times New Roman" w:cs="Times New Roman"/>
          <w:sz w:val="24"/>
          <w:szCs w:val="24"/>
        </w:rPr>
        <w:t xml:space="preserve">) в </w:t>
      </w:r>
      <w:r w:rsidR="000B6DDD" w:rsidRPr="000B6DDD">
        <w:rPr>
          <w:rFonts w:ascii="Times New Roman" w:hAnsi="Times New Roman" w:cs="Times New Roman"/>
          <w:sz w:val="24"/>
          <w:szCs w:val="24"/>
        </w:rPr>
        <w:t>БНБ</w:t>
      </w:r>
      <w:r w:rsidR="00645676" w:rsidRPr="000B6DDD">
        <w:rPr>
          <w:rFonts w:ascii="Times New Roman" w:hAnsi="Times New Roman" w:cs="Times New Roman"/>
          <w:sz w:val="24"/>
          <w:szCs w:val="24"/>
        </w:rPr>
        <w:t>”</w:t>
      </w:r>
      <w:r w:rsidR="000B6DDD" w:rsidRPr="000B6DDD">
        <w:rPr>
          <w:rFonts w:ascii="Times New Roman" w:hAnsi="Times New Roman" w:cs="Times New Roman"/>
          <w:sz w:val="24"/>
          <w:szCs w:val="24"/>
        </w:rPr>
        <w:t xml:space="preserve"> </w:t>
      </w:r>
      <w:r w:rsidR="00C069AB" w:rsidRPr="000B6DDD">
        <w:rPr>
          <w:rFonts w:ascii="Times New Roman" w:hAnsi="Times New Roman" w:cs="Times New Roman"/>
          <w:sz w:val="24"/>
          <w:szCs w:val="24"/>
        </w:rPr>
        <w:t>(„</w:t>
      </w:r>
      <w:r w:rsidR="00645676" w:rsidRPr="000B6DDD">
        <w:rPr>
          <w:rFonts w:ascii="Times New Roman" w:hAnsi="Times New Roman" w:cs="Times New Roman"/>
          <w:sz w:val="24"/>
          <w:szCs w:val="24"/>
        </w:rPr>
        <w:t>WEB</w:t>
      </w:r>
      <w:r w:rsidR="00C069AB" w:rsidRPr="000B6DDD">
        <w:rPr>
          <w:rFonts w:ascii="Times New Roman" w:hAnsi="Times New Roman" w:cs="Times New Roman"/>
          <w:sz w:val="24"/>
          <w:szCs w:val="24"/>
        </w:rPr>
        <w:t xml:space="preserve">-приложение за удостоверения на </w:t>
      </w:r>
      <w:r w:rsidR="000B6DDD" w:rsidRPr="000B6DDD">
        <w:rPr>
          <w:rFonts w:ascii="Times New Roman" w:hAnsi="Times New Roman" w:cs="Times New Roman"/>
          <w:sz w:val="24"/>
          <w:szCs w:val="24"/>
        </w:rPr>
        <w:t>ИС</w:t>
      </w:r>
      <w:r w:rsidR="00C069AB" w:rsidRPr="000B6DDD">
        <w:rPr>
          <w:rFonts w:ascii="Times New Roman" w:hAnsi="Times New Roman" w:cs="Times New Roman"/>
          <w:sz w:val="24"/>
          <w:szCs w:val="24"/>
        </w:rPr>
        <w:t xml:space="preserve"> на </w:t>
      </w:r>
      <w:r w:rsidR="000B6DDD" w:rsidRPr="000B6DDD">
        <w:rPr>
          <w:rFonts w:ascii="Times New Roman" w:hAnsi="Times New Roman" w:cs="Times New Roman"/>
          <w:sz w:val="24"/>
          <w:szCs w:val="24"/>
        </w:rPr>
        <w:t>ЦКР</w:t>
      </w:r>
      <w:r w:rsidR="00C069AB" w:rsidRPr="000B6DDD">
        <w:rPr>
          <w:rFonts w:ascii="Times New Roman" w:hAnsi="Times New Roman" w:cs="Times New Roman"/>
          <w:sz w:val="24"/>
          <w:szCs w:val="24"/>
        </w:rPr>
        <w:t>”)</w:t>
      </w:r>
      <w:r>
        <w:rPr>
          <w:rFonts w:ascii="Times New Roman" w:hAnsi="Times New Roman" w:cs="Times New Roman"/>
          <w:sz w:val="24"/>
          <w:szCs w:val="24"/>
        </w:rPr>
        <w:t>“</w:t>
      </w:r>
      <w:r w:rsidR="000B6DDD">
        <w:rPr>
          <w:rFonts w:ascii="Times New Roman" w:hAnsi="Times New Roman" w:cs="Times New Roman"/>
          <w:sz w:val="24"/>
          <w:szCs w:val="24"/>
        </w:rPr>
        <w:t xml:space="preserve"> – Приложение № 1.1.;</w:t>
      </w:r>
    </w:p>
    <w:p w:rsidR="00645016" w:rsidRDefault="00645016" w:rsidP="00645016">
      <w:pPr>
        <w:pStyle w:val="ListParagraph"/>
        <w:numPr>
          <w:ilvl w:val="0"/>
          <w:numId w:val="1"/>
        </w:numPr>
        <w:tabs>
          <w:tab w:val="left" w:pos="0"/>
          <w:tab w:val="left" w:pos="284"/>
          <w:tab w:val="left" w:pos="1134"/>
        </w:tabs>
        <w:spacing w:after="0" w:line="360" w:lineRule="auto"/>
        <w:ind w:left="0" w:firstLine="709"/>
        <w:jc w:val="both"/>
        <w:rPr>
          <w:rFonts w:ascii="Times New Roman" w:hAnsi="Times New Roman" w:cs="Times New Roman"/>
          <w:sz w:val="24"/>
          <w:szCs w:val="24"/>
        </w:rPr>
      </w:pPr>
      <w:r w:rsidRPr="00645016">
        <w:rPr>
          <w:rFonts w:ascii="Times New Roman" w:hAnsi="Times New Roman" w:cs="Times New Roman"/>
          <w:sz w:val="24"/>
          <w:szCs w:val="24"/>
        </w:rPr>
        <w:t>„Планирана нова функционалност</w:t>
      </w:r>
      <w:r>
        <w:rPr>
          <w:rFonts w:ascii="Times New Roman" w:hAnsi="Times New Roman" w:cs="Times New Roman"/>
          <w:sz w:val="24"/>
          <w:szCs w:val="24"/>
        </w:rPr>
        <w:t xml:space="preserve"> в Централен кредитен регистър</w:t>
      </w:r>
      <w:r w:rsidR="005E120C" w:rsidRPr="005E120C">
        <w:rPr>
          <w:rFonts w:ascii="Times New Roman" w:eastAsia="Times New Roman" w:hAnsi="Times New Roman" w:cs="Times New Roman"/>
          <w:sz w:val="24"/>
          <w:szCs w:val="20"/>
          <w:lang w:eastAsia="bg-BG"/>
        </w:rPr>
        <w:t xml:space="preserve"> </w:t>
      </w:r>
      <w:r w:rsidR="005E120C" w:rsidRPr="0053207D">
        <w:rPr>
          <w:rFonts w:ascii="Times New Roman" w:eastAsia="Times New Roman" w:hAnsi="Times New Roman" w:cs="Times New Roman"/>
          <w:sz w:val="24"/>
          <w:szCs w:val="20"/>
          <w:lang w:eastAsia="bg-BG"/>
        </w:rPr>
        <w:t>за реализация по време на изпълнение на договора за абонаментн</w:t>
      </w:r>
      <w:r w:rsidR="005E120C">
        <w:rPr>
          <w:rFonts w:ascii="Times New Roman" w:eastAsia="Times New Roman" w:hAnsi="Times New Roman" w:cs="Times New Roman"/>
          <w:sz w:val="24"/>
          <w:szCs w:val="20"/>
          <w:lang w:eastAsia="bg-BG"/>
        </w:rPr>
        <w:t>о</w:t>
      </w:r>
      <w:r w:rsidR="005E120C" w:rsidRPr="0053207D">
        <w:rPr>
          <w:rFonts w:ascii="Times New Roman" w:eastAsia="Times New Roman" w:hAnsi="Times New Roman" w:cs="Times New Roman"/>
          <w:sz w:val="24"/>
          <w:szCs w:val="20"/>
          <w:lang w:eastAsia="bg-BG"/>
        </w:rPr>
        <w:t xml:space="preserve"> </w:t>
      </w:r>
      <w:r w:rsidR="005E120C">
        <w:rPr>
          <w:rFonts w:ascii="Times New Roman" w:eastAsia="Times New Roman" w:hAnsi="Times New Roman" w:cs="Times New Roman"/>
          <w:sz w:val="24"/>
          <w:szCs w:val="20"/>
          <w:lang w:eastAsia="bg-BG"/>
        </w:rPr>
        <w:t>обслужване</w:t>
      </w:r>
      <w:r>
        <w:rPr>
          <w:rFonts w:ascii="Times New Roman" w:hAnsi="Times New Roman" w:cs="Times New Roman"/>
          <w:sz w:val="24"/>
          <w:szCs w:val="24"/>
        </w:rPr>
        <w:t>“ -</w:t>
      </w:r>
      <w:r w:rsidRPr="00645016">
        <w:rPr>
          <w:rFonts w:ascii="Times New Roman" w:hAnsi="Times New Roman" w:cs="Times New Roman"/>
          <w:sz w:val="24"/>
          <w:szCs w:val="24"/>
        </w:rPr>
        <w:t xml:space="preserve"> Приложение № 1.2</w:t>
      </w:r>
      <w:r>
        <w:rPr>
          <w:rFonts w:ascii="Times New Roman" w:hAnsi="Times New Roman" w:cs="Times New Roman"/>
          <w:sz w:val="24"/>
          <w:szCs w:val="24"/>
        </w:rPr>
        <w:t>;</w:t>
      </w:r>
    </w:p>
    <w:p w:rsidR="00645016" w:rsidRPr="00645016" w:rsidRDefault="00645016" w:rsidP="00645016">
      <w:pPr>
        <w:pStyle w:val="ListParagraph"/>
        <w:numPr>
          <w:ilvl w:val="0"/>
          <w:numId w:val="1"/>
        </w:numPr>
        <w:tabs>
          <w:tab w:val="left" w:pos="0"/>
          <w:tab w:val="left" w:pos="284"/>
          <w:tab w:val="left" w:pos="1134"/>
        </w:tabs>
        <w:spacing w:after="0" w:line="360" w:lineRule="auto"/>
        <w:ind w:left="0" w:firstLine="709"/>
        <w:jc w:val="both"/>
        <w:rPr>
          <w:rFonts w:ascii="Times New Roman" w:hAnsi="Times New Roman" w:cs="Times New Roman"/>
          <w:sz w:val="24"/>
          <w:szCs w:val="24"/>
        </w:rPr>
      </w:pPr>
      <w:r w:rsidRPr="00645016">
        <w:rPr>
          <w:rFonts w:ascii="Times New Roman" w:hAnsi="Times New Roman" w:cs="Times New Roman"/>
          <w:sz w:val="24"/>
          <w:szCs w:val="24"/>
        </w:rPr>
        <w:t>„Изисквания, обхват и условия за абонаментно обслужване на „WEB-приложение за удостоверения на ИС на ЦКР (Приложението)” – Приложение № 1.3.</w:t>
      </w:r>
    </w:p>
    <w:sectPr w:rsidR="00645016" w:rsidRPr="0064501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0B13" w:rsidRDefault="00D50B13" w:rsidP="00AA73BE">
      <w:pPr>
        <w:spacing w:after="0" w:line="240" w:lineRule="auto"/>
      </w:pPr>
      <w:r>
        <w:separator/>
      </w:r>
    </w:p>
  </w:endnote>
  <w:endnote w:type="continuationSeparator" w:id="0">
    <w:p w:rsidR="00D50B13" w:rsidRDefault="00D50B13" w:rsidP="00AA7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4499067"/>
      <w:docPartObj>
        <w:docPartGallery w:val="Page Numbers (Bottom of Page)"/>
        <w:docPartUnique/>
      </w:docPartObj>
    </w:sdtPr>
    <w:sdtEndPr>
      <w:rPr>
        <w:noProof/>
      </w:rPr>
    </w:sdtEndPr>
    <w:sdtContent>
      <w:p w:rsidR="00AA73BE" w:rsidRDefault="00AA73BE">
        <w:pPr>
          <w:pStyle w:val="Footer"/>
          <w:jc w:val="right"/>
        </w:pPr>
        <w:r>
          <w:fldChar w:fldCharType="begin"/>
        </w:r>
        <w:r>
          <w:instrText xml:space="preserve"> PAGE   \* MERGEFORMAT </w:instrText>
        </w:r>
        <w:r>
          <w:fldChar w:fldCharType="separate"/>
        </w:r>
        <w:r w:rsidR="00542936">
          <w:rPr>
            <w:noProof/>
          </w:rPr>
          <w:t>1</w:t>
        </w:r>
        <w:r>
          <w:rPr>
            <w:noProof/>
          </w:rPr>
          <w:fldChar w:fldCharType="end"/>
        </w:r>
      </w:p>
    </w:sdtContent>
  </w:sdt>
  <w:p w:rsidR="00AA73BE" w:rsidRDefault="00AA73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0B13" w:rsidRDefault="00D50B13" w:rsidP="00AA73BE">
      <w:pPr>
        <w:spacing w:after="0" w:line="240" w:lineRule="auto"/>
      </w:pPr>
      <w:r>
        <w:separator/>
      </w:r>
    </w:p>
  </w:footnote>
  <w:footnote w:type="continuationSeparator" w:id="0">
    <w:p w:rsidR="00D50B13" w:rsidRDefault="00D50B13" w:rsidP="00AA73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C4D99"/>
    <w:multiLevelType w:val="hybridMultilevel"/>
    <w:tmpl w:val="3C38A1E0"/>
    <w:lvl w:ilvl="0" w:tplc="136EC2A8">
      <w:numFmt w:val="bullet"/>
      <w:lvlText w:val="-"/>
      <w:lvlJc w:val="left"/>
      <w:pPr>
        <w:ind w:left="1350" w:hanging="360"/>
      </w:pPr>
      <w:rPr>
        <w:rFonts w:ascii="Times New Roman" w:eastAsiaTheme="minorHAnsi" w:hAnsi="Times New Roman" w:cs="Times New Roman" w:hint="default"/>
      </w:rPr>
    </w:lvl>
    <w:lvl w:ilvl="1" w:tplc="04020003" w:tentative="1">
      <w:start w:val="1"/>
      <w:numFmt w:val="bullet"/>
      <w:lvlText w:val="o"/>
      <w:lvlJc w:val="left"/>
      <w:pPr>
        <w:ind w:left="2070" w:hanging="360"/>
      </w:pPr>
      <w:rPr>
        <w:rFonts w:ascii="Courier New" w:hAnsi="Courier New" w:cs="Courier New" w:hint="default"/>
      </w:rPr>
    </w:lvl>
    <w:lvl w:ilvl="2" w:tplc="04020005" w:tentative="1">
      <w:start w:val="1"/>
      <w:numFmt w:val="bullet"/>
      <w:lvlText w:val=""/>
      <w:lvlJc w:val="left"/>
      <w:pPr>
        <w:ind w:left="2790" w:hanging="360"/>
      </w:pPr>
      <w:rPr>
        <w:rFonts w:ascii="Wingdings" w:hAnsi="Wingdings" w:hint="default"/>
      </w:rPr>
    </w:lvl>
    <w:lvl w:ilvl="3" w:tplc="04020001" w:tentative="1">
      <w:start w:val="1"/>
      <w:numFmt w:val="bullet"/>
      <w:lvlText w:val=""/>
      <w:lvlJc w:val="left"/>
      <w:pPr>
        <w:ind w:left="3510" w:hanging="360"/>
      </w:pPr>
      <w:rPr>
        <w:rFonts w:ascii="Symbol" w:hAnsi="Symbol" w:hint="default"/>
      </w:rPr>
    </w:lvl>
    <w:lvl w:ilvl="4" w:tplc="04020003" w:tentative="1">
      <w:start w:val="1"/>
      <w:numFmt w:val="bullet"/>
      <w:lvlText w:val="o"/>
      <w:lvlJc w:val="left"/>
      <w:pPr>
        <w:ind w:left="4230" w:hanging="360"/>
      </w:pPr>
      <w:rPr>
        <w:rFonts w:ascii="Courier New" w:hAnsi="Courier New" w:cs="Courier New" w:hint="default"/>
      </w:rPr>
    </w:lvl>
    <w:lvl w:ilvl="5" w:tplc="04020005" w:tentative="1">
      <w:start w:val="1"/>
      <w:numFmt w:val="bullet"/>
      <w:lvlText w:val=""/>
      <w:lvlJc w:val="left"/>
      <w:pPr>
        <w:ind w:left="4950" w:hanging="360"/>
      </w:pPr>
      <w:rPr>
        <w:rFonts w:ascii="Wingdings" w:hAnsi="Wingdings" w:hint="default"/>
      </w:rPr>
    </w:lvl>
    <w:lvl w:ilvl="6" w:tplc="04020001" w:tentative="1">
      <w:start w:val="1"/>
      <w:numFmt w:val="bullet"/>
      <w:lvlText w:val=""/>
      <w:lvlJc w:val="left"/>
      <w:pPr>
        <w:ind w:left="5670" w:hanging="360"/>
      </w:pPr>
      <w:rPr>
        <w:rFonts w:ascii="Symbol" w:hAnsi="Symbol" w:hint="default"/>
      </w:rPr>
    </w:lvl>
    <w:lvl w:ilvl="7" w:tplc="04020003" w:tentative="1">
      <w:start w:val="1"/>
      <w:numFmt w:val="bullet"/>
      <w:lvlText w:val="o"/>
      <w:lvlJc w:val="left"/>
      <w:pPr>
        <w:ind w:left="6390" w:hanging="360"/>
      </w:pPr>
      <w:rPr>
        <w:rFonts w:ascii="Courier New" w:hAnsi="Courier New" w:cs="Courier New" w:hint="default"/>
      </w:rPr>
    </w:lvl>
    <w:lvl w:ilvl="8" w:tplc="04020005" w:tentative="1">
      <w:start w:val="1"/>
      <w:numFmt w:val="bullet"/>
      <w:lvlText w:val=""/>
      <w:lvlJc w:val="left"/>
      <w:pPr>
        <w:ind w:left="7110" w:hanging="360"/>
      </w:pPr>
      <w:rPr>
        <w:rFonts w:ascii="Wingdings" w:hAnsi="Wingdings" w:hint="default"/>
      </w:rPr>
    </w:lvl>
  </w:abstractNum>
  <w:abstractNum w:abstractNumId="1" w15:restartNumberingAfterBreak="0">
    <w:nsid w:val="1875668C"/>
    <w:multiLevelType w:val="hybridMultilevel"/>
    <w:tmpl w:val="15DAC23C"/>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E8D86224">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 w15:restartNumberingAfterBreak="0">
    <w:nsid w:val="36191144"/>
    <w:multiLevelType w:val="hybridMultilevel"/>
    <w:tmpl w:val="28C8F1D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6114B53"/>
    <w:multiLevelType w:val="hybridMultilevel"/>
    <w:tmpl w:val="AB6CC2EA"/>
    <w:lvl w:ilvl="0" w:tplc="51081302">
      <w:start w:val="3"/>
      <w:numFmt w:val="bullet"/>
      <w:lvlText w:val=""/>
      <w:lvlJc w:val="left"/>
      <w:pPr>
        <w:ind w:left="1069" w:hanging="360"/>
      </w:pPr>
      <w:rPr>
        <w:rFonts w:ascii="Times New Roman" w:eastAsiaTheme="minorHAns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 w15:restartNumberingAfterBreak="0">
    <w:nsid w:val="55E32C07"/>
    <w:multiLevelType w:val="hybridMultilevel"/>
    <w:tmpl w:val="7F0A2508"/>
    <w:lvl w:ilvl="0" w:tplc="0FB610CE">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5D6421C5"/>
    <w:multiLevelType w:val="multilevel"/>
    <w:tmpl w:val="1D54A086"/>
    <w:lvl w:ilvl="0">
      <w:start w:val="1"/>
      <w:numFmt w:val="decimal"/>
      <w:lvlText w:val="%1."/>
      <w:lvlJc w:val="left"/>
      <w:pPr>
        <w:ind w:left="360" w:hanging="360"/>
      </w:pPr>
      <w:rPr>
        <w:rFonts w:hint="default"/>
        <w:b/>
      </w:rPr>
    </w:lvl>
    <w:lvl w:ilvl="1">
      <w:start w:val="1"/>
      <w:numFmt w:val="decimal"/>
      <w:lvlText w:val="%1.%2."/>
      <w:lvlJc w:val="left"/>
      <w:pPr>
        <w:ind w:left="1283"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77220B5"/>
    <w:multiLevelType w:val="multilevel"/>
    <w:tmpl w:val="0B366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6"/>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B4B"/>
    <w:rsid w:val="00064B18"/>
    <w:rsid w:val="00087DFD"/>
    <w:rsid w:val="000A6075"/>
    <w:rsid w:val="000B6DDD"/>
    <w:rsid w:val="000F4F5A"/>
    <w:rsid w:val="00133995"/>
    <w:rsid w:val="001B2983"/>
    <w:rsid w:val="001D5D27"/>
    <w:rsid w:val="001D5F83"/>
    <w:rsid w:val="003611AD"/>
    <w:rsid w:val="00377213"/>
    <w:rsid w:val="003F1B9B"/>
    <w:rsid w:val="00475AB9"/>
    <w:rsid w:val="00542936"/>
    <w:rsid w:val="005E120C"/>
    <w:rsid w:val="00630A3B"/>
    <w:rsid w:val="00631AD6"/>
    <w:rsid w:val="00645016"/>
    <w:rsid w:val="00645676"/>
    <w:rsid w:val="0068389F"/>
    <w:rsid w:val="0069617D"/>
    <w:rsid w:val="006B04D5"/>
    <w:rsid w:val="006D3AAD"/>
    <w:rsid w:val="007E34CE"/>
    <w:rsid w:val="00833B4B"/>
    <w:rsid w:val="009033D6"/>
    <w:rsid w:val="00921295"/>
    <w:rsid w:val="009D0B89"/>
    <w:rsid w:val="00A239E8"/>
    <w:rsid w:val="00AA73BE"/>
    <w:rsid w:val="00AC28DE"/>
    <w:rsid w:val="00AF19E7"/>
    <w:rsid w:val="00AF7110"/>
    <w:rsid w:val="00B64E25"/>
    <w:rsid w:val="00BC2EEC"/>
    <w:rsid w:val="00C069AB"/>
    <w:rsid w:val="00C641F0"/>
    <w:rsid w:val="00D50B13"/>
    <w:rsid w:val="00D81994"/>
    <w:rsid w:val="00E451A4"/>
    <w:rsid w:val="00E6742C"/>
    <w:rsid w:val="00E82CD9"/>
    <w:rsid w:val="00F420DD"/>
    <w:rsid w:val="00F85E9F"/>
    <w:rsid w:val="00FA178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D8FA82-2397-4AC1-956A-A4B347D40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6DDD"/>
    <w:pPr>
      <w:ind w:left="720"/>
      <w:contextualSpacing/>
    </w:pPr>
  </w:style>
  <w:style w:type="character" w:styleId="Hyperlink">
    <w:name w:val="Hyperlink"/>
    <w:basedOn w:val="DefaultParagraphFont"/>
    <w:uiPriority w:val="99"/>
    <w:unhideWhenUsed/>
    <w:rsid w:val="00AF19E7"/>
    <w:rPr>
      <w:color w:val="0563C1" w:themeColor="hyperlink"/>
      <w:u w:val="single"/>
    </w:rPr>
  </w:style>
  <w:style w:type="paragraph" w:styleId="BodyText2">
    <w:name w:val="Body Text 2"/>
    <w:basedOn w:val="Normal"/>
    <w:link w:val="BodyText2Char"/>
    <w:unhideWhenUsed/>
    <w:rsid w:val="00F420DD"/>
    <w:pPr>
      <w:spacing w:before="120" w:after="120" w:line="480" w:lineRule="auto"/>
      <w:ind w:firstLine="720"/>
      <w:jc w:val="both"/>
    </w:pPr>
    <w:rPr>
      <w:rFonts w:ascii="Times New Roman" w:eastAsia="Times New Roman" w:hAnsi="Times New Roman" w:cs="Times New Roman"/>
      <w:sz w:val="24"/>
      <w:szCs w:val="20"/>
      <w:lang w:eastAsia="bg-BG"/>
    </w:rPr>
  </w:style>
  <w:style w:type="character" w:customStyle="1" w:styleId="BodyText2Char">
    <w:name w:val="Body Text 2 Char"/>
    <w:basedOn w:val="DefaultParagraphFont"/>
    <w:link w:val="BodyText2"/>
    <w:rsid w:val="00F420DD"/>
    <w:rPr>
      <w:rFonts w:ascii="Times New Roman" w:eastAsia="Times New Roman" w:hAnsi="Times New Roman" w:cs="Times New Roman"/>
      <w:sz w:val="24"/>
      <w:szCs w:val="20"/>
      <w:lang w:eastAsia="bg-BG"/>
    </w:rPr>
  </w:style>
  <w:style w:type="paragraph" w:styleId="BalloonText">
    <w:name w:val="Balloon Text"/>
    <w:basedOn w:val="Normal"/>
    <w:link w:val="BalloonTextChar"/>
    <w:uiPriority w:val="99"/>
    <w:semiHidden/>
    <w:unhideWhenUsed/>
    <w:rsid w:val="00E451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1A4"/>
    <w:rPr>
      <w:rFonts w:ascii="Segoe UI" w:hAnsi="Segoe UI" w:cs="Segoe UI"/>
      <w:sz w:val="18"/>
      <w:szCs w:val="18"/>
    </w:rPr>
  </w:style>
  <w:style w:type="character" w:styleId="CommentReference">
    <w:name w:val="annotation reference"/>
    <w:basedOn w:val="DefaultParagraphFont"/>
    <w:uiPriority w:val="99"/>
    <w:semiHidden/>
    <w:unhideWhenUsed/>
    <w:rsid w:val="00645016"/>
    <w:rPr>
      <w:sz w:val="16"/>
      <w:szCs w:val="16"/>
    </w:rPr>
  </w:style>
  <w:style w:type="paragraph" w:styleId="CommentText">
    <w:name w:val="annotation text"/>
    <w:basedOn w:val="Normal"/>
    <w:link w:val="CommentTextChar"/>
    <w:uiPriority w:val="99"/>
    <w:semiHidden/>
    <w:unhideWhenUsed/>
    <w:rsid w:val="00645016"/>
    <w:pPr>
      <w:spacing w:line="240" w:lineRule="auto"/>
    </w:pPr>
    <w:rPr>
      <w:sz w:val="20"/>
      <w:szCs w:val="20"/>
    </w:rPr>
  </w:style>
  <w:style w:type="character" w:customStyle="1" w:styleId="CommentTextChar">
    <w:name w:val="Comment Text Char"/>
    <w:basedOn w:val="DefaultParagraphFont"/>
    <w:link w:val="CommentText"/>
    <w:uiPriority w:val="99"/>
    <w:semiHidden/>
    <w:rsid w:val="00645016"/>
    <w:rPr>
      <w:sz w:val="20"/>
      <w:szCs w:val="20"/>
    </w:rPr>
  </w:style>
  <w:style w:type="paragraph" w:styleId="CommentSubject">
    <w:name w:val="annotation subject"/>
    <w:basedOn w:val="CommentText"/>
    <w:next w:val="CommentText"/>
    <w:link w:val="CommentSubjectChar"/>
    <w:uiPriority w:val="99"/>
    <w:semiHidden/>
    <w:unhideWhenUsed/>
    <w:rsid w:val="00645016"/>
    <w:rPr>
      <w:b/>
      <w:bCs/>
    </w:rPr>
  </w:style>
  <w:style w:type="character" w:customStyle="1" w:styleId="CommentSubjectChar">
    <w:name w:val="Comment Subject Char"/>
    <w:basedOn w:val="CommentTextChar"/>
    <w:link w:val="CommentSubject"/>
    <w:uiPriority w:val="99"/>
    <w:semiHidden/>
    <w:rsid w:val="00645016"/>
    <w:rPr>
      <w:b/>
      <w:bCs/>
      <w:sz w:val="20"/>
      <w:szCs w:val="20"/>
    </w:rPr>
  </w:style>
  <w:style w:type="paragraph" w:styleId="Header">
    <w:name w:val="header"/>
    <w:basedOn w:val="Normal"/>
    <w:link w:val="HeaderChar"/>
    <w:uiPriority w:val="99"/>
    <w:unhideWhenUsed/>
    <w:rsid w:val="00AA73BE"/>
    <w:pPr>
      <w:tabs>
        <w:tab w:val="center" w:pos="4536"/>
        <w:tab w:val="right" w:pos="9072"/>
      </w:tabs>
      <w:spacing w:after="0" w:line="240" w:lineRule="auto"/>
    </w:pPr>
  </w:style>
  <w:style w:type="character" w:customStyle="1" w:styleId="HeaderChar">
    <w:name w:val="Header Char"/>
    <w:basedOn w:val="DefaultParagraphFont"/>
    <w:link w:val="Header"/>
    <w:uiPriority w:val="99"/>
    <w:rsid w:val="00AA73BE"/>
  </w:style>
  <w:style w:type="paragraph" w:styleId="Footer">
    <w:name w:val="footer"/>
    <w:basedOn w:val="Normal"/>
    <w:link w:val="FooterChar"/>
    <w:uiPriority w:val="99"/>
    <w:unhideWhenUsed/>
    <w:rsid w:val="00AA73B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A73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342956">
      <w:bodyDiv w:val="1"/>
      <w:marLeft w:val="0"/>
      <w:marRight w:val="0"/>
      <w:marTop w:val="0"/>
      <w:marBottom w:val="0"/>
      <w:divBdr>
        <w:top w:val="none" w:sz="0" w:space="0" w:color="auto"/>
        <w:left w:val="none" w:sz="0" w:space="0" w:color="auto"/>
        <w:bottom w:val="none" w:sz="0" w:space="0" w:color="auto"/>
        <w:right w:val="none" w:sz="0" w:space="0" w:color="auto"/>
      </w:divBdr>
      <w:divsChild>
        <w:div w:id="852187727">
          <w:marLeft w:val="0"/>
          <w:marRight w:val="0"/>
          <w:marTop w:val="0"/>
          <w:marBottom w:val="0"/>
          <w:divBdr>
            <w:top w:val="none" w:sz="0" w:space="0" w:color="auto"/>
            <w:left w:val="none" w:sz="0" w:space="0" w:color="auto"/>
            <w:bottom w:val="none" w:sz="0" w:space="0" w:color="auto"/>
            <w:right w:val="none" w:sz="0" w:space="0" w:color="auto"/>
          </w:divBdr>
          <w:divsChild>
            <w:div w:id="981276008">
              <w:marLeft w:val="0"/>
              <w:marRight w:val="0"/>
              <w:marTop w:val="0"/>
              <w:marBottom w:val="0"/>
              <w:divBdr>
                <w:top w:val="none" w:sz="0" w:space="0" w:color="auto"/>
                <w:left w:val="none" w:sz="0" w:space="0" w:color="auto"/>
                <w:bottom w:val="none" w:sz="0" w:space="0" w:color="auto"/>
                <w:right w:val="none" w:sz="0" w:space="0" w:color="auto"/>
              </w:divBdr>
              <w:divsChild>
                <w:div w:id="1800414309">
                  <w:marLeft w:val="0"/>
                  <w:marRight w:val="0"/>
                  <w:marTop w:val="0"/>
                  <w:marBottom w:val="0"/>
                  <w:divBdr>
                    <w:top w:val="none" w:sz="0" w:space="0" w:color="auto"/>
                    <w:left w:val="none" w:sz="0" w:space="0" w:color="auto"/>
                    <w:bottom w:val="none" w:sz="0" w:space="0" w:color="auto"/>
                    <w:right w:val="none" w:sz="0" w:space="0" w:color="auto"/>
                  </w:divBdr>
                  <w:divsChild>
                    <w:div w:id="1656491128">
                      <w:marLeft w:val="0"/>
                      <w:marRight w:val="0"/>
                      <w:marTop w:val="0"/>
                      <w:marBottom w:val="0"/>
                      <w:divBdr>
                        <w:top w:val="none" w:sz="0" w:space="0" w:color="auto"/>
                        <w:left w:val="none" w:sz="0" w:space="0" w:color="auto"/>
                        <w:bottom w:val="none" w:sz="0" w:space="0" w:color="auto"/>
                        <w:right w:val="none" w:sz="0" w:space="0" w:color="auto"/>
                      </w:divBdr>
                      <w:divsChild>
                        <w:div w:id="188614425">
                          <w:marLeft w:val="0"/>
                          <w:marRight w:val="0"/>
                          <w:marTop w:val="0"/>
                          <w:marBottom w:val="0"/>
                          <w:divBdr>
                            <w:top w:val="none" w:sz="0" w:space="0" w:color="auto"/>
                            <w:left w:val="none" w:sz="0" w:space="0" w:color="auto"/>
                            <w:bottom w:val="none" w:sz="0" w:space="0" w:color="auto"/>
                            <w:right w:val="none" w:sz="0" w:space="0" w:color="auto"/>
                          </w:divBdr>
                          <w:divsChild>
                            <w:div w:id="380986515">
                              <w:marLeft w:val="0"/>
                              <w:marRight w:val="0"/>
                              <w:marTop w:val="0"/>
                              <w:marBottom w:val="0"/>
                              <w:divBdr>
                                <w:top w:val="none" w:sz="0" w:space="0" w:color="auto"/>
                                <w:left w:val="none" w:sz="0" w:space="0" w:color="auto"/>
                                <w:bottom w:val="none" w:sz="0" w:space="0" w:color="auto"/>
                                <w:right w:val="none" w:sz="0" w:space="0" w:color="auto"/>
                              </w:divBdr>
                              <w:divsChild>
                                <w:div w:id="533036615">
                                  <w:marLeft w:val="0"/>
                                  <w:marRight w:val="0"/>
                                  <w:marTop w:val="0"/>
                                  <w:marBottom w:val="0"/>
                                  <w:divBdr>
                                    <w:top w:val="none" w:sz="0" w:space="0" w:color="auto"/>
                                    <w:left w:val="none" w:sz="0" w:space="0" w:color="auto"/>
                                    <w:bottom w:val="none" w:sz="0" w:space="0" w:color="auto"/>
                                    <w:right w:val="none" w:sz="0" w:space="0" w:color="auto"/>
                                  </w:divBdr>
                                  <w:divsChild>
                                    <w:div w:id="661083800">
                                      <w:marLeft w:val="0"/>
                                      <w:marRight w:val="0"/>
                                      <w:marTop w:val="0"/>
                                      <w:marBottom w:val="0"/>
                                      <w:divBdr>
                                        <w:top w:val="none" w:sz="0" w:space="0" w:color="auto"/>
                                        <w:left w:val="none" w:sz="0" w:space="0" w:color="auto"/>
                                        <w:bottom w:val="none" w:sz="0" w:space="0" w:color="auto"/>
                                        <w:right w:val="none" w:sz="0" w:space="0" w:color="auto"/>
                                      </w:divBdr>
                                      <w:divsChild>
                                        <w:div w:id="52475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1680846">
      <w:bodyDiv w:val="1"/>
      <w:marLeft w:val="0"/>
      <w:marRight w:val="0"/>
      <w:marTop w:val="0"/>
      <w:marBottom w:val="0"/>
      <w:divBdr>
        <w:top w:val="none" w:sz="0" w:space="0" w:color="auto"/>
        <w:left w:val="none" w:sz="0" w:space="0" w:color="auto"/>
        <w:bottom w:val="none" w:sz="0" w:space="0" w:color="auto"/>
        <w:right w:val="none" w:sz="0" w:space="0" w:color="auto"/>
      </w:divBdr>
      <w:divsChild>
        <w:div w:id="1035692301">
          <w:marLeft w:val="0"/>
          <w:marRight w:val="0"/>
          <w:marTop w:val="0"/>
          <w:marBottom w:val="0"/>
          <w:divBdr>
            <w:top w:val="none" w:sz="0" w:space="0" w:color="auto"/>
            <w:left w:val="none" w:sz="0" w:space="0" w:color="auto"/>
            <w:bottom w:val="none" w:sz="0" w:space="0" w:color="auto"/>
            <w:right w:val="none" w:sz="0" w:space="0" w:color="auto"/>
          </w:divBdr>
          <w:divsChild>
            <w:div w:id="1211069293">
              <w:marLeft w:val="0"/>
              <w:marRight w:val="0"/>
              <w:marTop w:val="0"/>
              <w:marBottom w:val="0"/>
              <w:divBdr>
                <w:top w:val="none" w:sz="0" w:space="0" w:color="auto"/>
                <w:left w:val="none" w:sz="0" w:space="0" w:color="auto"/>
                <w:bottom w:val="none" w:sz="0" w:space="0" w:color="auto"/>
                <w:right w:val="none" w:sz="0" w:space="0" w:color="auto"/>
              </w:divBdr>
              <w:divsChild>
                <w:div w:id="1545023633">
                  <w:marLeft w:val="0"/>
                  <w:marRight w:val="0"/>
                  <w:marTop w:val="0"/>
                  <w:marBottom w:val="0"/>
                  <w:divBdr>
                    <w:top w:val="none" w:sz="0" w:space="0" w:color="auto"/>
                    <w:left w:val="none" w:sz="0" w:space="0" w:color="auto"/>
                    <w:bottom w:val="none" w:sz="0" w:space="0" w:color="auto"/>
                    <w:right w:val="none" w:sz="0" w:space="0" w:color="auto"/>
                  </w:divBdr>
                  <w:divsChild>
                    <w:div w:id="1157921529">
                      <w:marLeft w:val="0"/>
                      <w:marRight w:val="0"/>
                      <w:marTop w:val="0"/>
                      <w:marBottom w:val="0"/>
                      <w:divBdr>
                        <w:top w:val="none" w:sz="0" w:space="0" w:color="auto"/>
                        <w:left w:val="none" w:sz="0" w:space="0" w:color="auto"/>
                        <w:bottom w:val="none" w:sz="0" w:space="0" w:color="auto"/>
                        <w:right w:val="none" w:sz="0" w:space="0" w:color="auto"/>
                      </w:divBdr>
                      <w:divsChild>
                        <w:div w:id="858546014">
                          <w:marLeft w:val="0"/>
                          <w:marRight w:val="0"/>
                          <w:marTop w:val="0"/>
                          <w:marBottom w:val="0"/>
                          <w:divBdr>
                            <w:top w:val="none" w:sz="0" w:space="0" w:color="auto"/>
                            <w:left w:val="none" w:sz="0" w:space="0" w:color="auto"/>
                            <w:bottom w:val="none" w:sz="0" w:space="0" w:color="auto"/>
                            <w:right w:val="none" w:sz="0" w:space="0" w:color="auto"/>
                          </w:divBdr>
                          <w:divsChild>
                            <w:div w:id="1882864475">
                              <w:marLeft w:val="0"/>
                              <w:marRight w:val="0"/>
                              <w:marTop w:val="0"/>
                              <w:marBottom w:val="0"/>
                              <w:divBdr>
                                <w:top w:val="none" w:sz="0" w:space="0" w:color="auto"/>
                                <w:left w:val="none" w:sz="0" w:space="0" w:color="auto"/>
                                <w:bottom w:val="none" w:sz="0" w:space="0" w:color="auto"/>
                                <w:right w:val="none" w:sz="0" w:space="0" w:color="auto"/>
                              </w:divBdr>
                              <w:divsChild>
                                <w:div w:id="169804182">
                                  <w:marLeft w:val="0"/>
                                  <w:marRight w:val="0"/>
                                  <w:marTop w:val="0"/>
                                  <w:marBottom w:val="0"/>
                                  <w:divBdr>
                                    <w:top w:val="none" w:sz="0" w:space="0" w:color="auto"/>
                                    <w:left w:val="none" w:sz="0" w:space="0" w:color="auto"/>
                                    <w:bottom w:val="none" w:sz="0" w:space="0" w:color="auto"/>
                                    <w:right w:val="none" w:sz="0" w:space="0" w:color="auto"/>
                                  </w:divBdr>
                                  <w:divsChild>
                                    <w:div w:id="847870087">
                                      <w:marLeft w:val="0"/>
                                      <w:marRight w:val="0"/>
                                      <w:marTop w:val="0"/>
                                      <w:marBottom w:val="0"/>
                                      <w:divBdr>
                                        <w:top w:val="none" w:sz="0" w:space="0" w:color="auto"/>
                                        <w:left w:val="none" w:sz="0" w:space="0" w:color="auto"/>
                                        <w:bottom w:val="none" w:sz="0" w:space="0" w:color="auto"/>
                                        <w:right w:val="none" w:sz="0" w:space="0" w:color="auto"/>
                                      </w:divBdr>
                                      <w:divsChild>
                                        <w:div w:id="7958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RegistersAndServices/RSCreditRegister/index.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98FC6-7517-4351-9C2E-F1CB7015E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1376</Words>
  <Characters>7844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9202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Станислава Стойнева</dc:creator>
  <cp:lastModifiedBy>Станислава Стойнева</cp:lastModifiedBy>
  <cp:revision>9</cp:revision>
  <cp:lastPrinted>2018-08-30T11:23:00Z</cp:lastPrinted>
  <dcterms:created xsi:type="dcterms:W3CDTF">2018-08-29T11:09:00Z</dcterms:created>
  <dcterms:modified xsi:type="dcterms:W3CDTF">2018-08-30T11:24:00Z</dcterms:modified>
</cp:coreProperties>
</file>