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04" w:rsidRDefault="000A0704" w:rsidP="000A0704">
      <w:pPr>
        <w:pStyle w:val="a"/>
        <w:rPr>
          <w:b/>
          <w:lang w:val="en-US"/>
        </w:rPr>
      </w:pPr>
      <w:r>
        <w:rPr>
          <w:b/>
          <w:lang w:val="en-US"/>
        </w:rPr>
        <w:t xml:space="preserve">                               </w:t>
      </w:r>
      <w:r w:rsidR="005451A9">
        <w:rPr>
          <w:b/>
        </w:rPr>
        <w:t>ТЕХНИЧЕСКА</w:t>
      </w:r>
      <w:r>
        <w:rPr>
          <w:b/>
        </w:rPr>
        <w:t xml:space="preserve"> СПЕЦИФИКАЦИ</w:t>
      </w:r>
      <w:r w:rsidR="005451A9">
        <w:rPr>
          <w:b/>
        </w:rPr>
        <w:t>Я</w:t>
      </w:r>
      <w:r w:rsidR="009311F7">
        <w:rPr>
          <w:b/>
        </w:rPr>
        <w:t xml:space="preserve"> № 1в</w:t>
      </w:r>
    </w:p>
    <w:p w:rsidR="00670679" w:rsidRPr="00670679" w:rsidRDefault="00670679" w:rsidP="000A0704">
      <w:pPr>
        <w:pStyle w:val="a"/>
        <w:rPr>
          <w:b/>
        </w:rPr>
      </w:pPr>
      <w:r>
        <w:rPr>
          <w:b/>
          <w:lang w:val="en-US"/>
        </w:rPr>
        <w:t xml:space="preserve">                                 </w:t>
      </w:r>
      <w:r w:rsidR="000F1CBB">
        <w:rPr>
          <w:b/>
        </w:rPr>
        <w:t>о</w:t>
      </w:r>
      <w:r>
        <w:rPr>
          <w:b/>
        </w:rPr>
        <w:t>тносно обособена позиция № 3</w:t>
      </w:r>
    </w:p>
    <w:p w:rsidR="000A0704" w:rsidRPr="006E4070" w:rsidRDefault="00CA49CA" w:rsidP="000A0704">
      <w:pPr>
        <w:pStyle w:val="a"/>
        <w:jc w:val="center"/>
        <w:rPr>
          <w:b/>
        </w:rPr>
      </w:pPr>
      <w:r w:rsidDel="00CA49CA">
        <w:rPr>
          <w:b/>
          <w:lang w:val="en-US"/>
        </w:rPr>
        <w:t xml:space="preserve"> </w:t>
      </w:r>
      <w:r w:rsidR="000A0704">
        <w:rPr>
          <w:b/>
        </w:rPr>
        <w:t>„Абонамент за достъп до съдържание на чуждестранни специализир</w:t>
      </w:r>
      <w:r w:rsidR="00CA590D">
        <w:rPr>
          <w:b/>
        </w:rPr>
        <w:t>ани електронни издания през 201</w:t>
      </w:r>
      <w:r w:rsidR="00CA590D">
        <w:rPr>
          <w:b/>
          <w:lang w:val="en-US"/>
        </w:rPr>
        <w:t>9</w:t>
      </w:r>
      <w:r w:rsidR="000A0704">
        <w:rPr>
          <w:b/>
        </w:rPr>
        <w:t>г“.</w:t>
      </w:r>
    </w:p>
    <w:p w:rsidR="000A0704" w:rsidRDefault="000A0704" w:rsidP="000A0704">
      <w:pPr>
        <w:pStyle w:val="a"/>
        <w:rPr>
          <w:b/>
        </w:rPr>
      </w:pPr>
    </w:p>
    <w:p w:rsidR="000A0704" w:rsidRPr="002E4E34" w:rsidRDefault="000A0704" w:rsidP="000A0704">
      <w:pPr>
        <w:pBdr>
          <w:bottom w:val="single" w:sz="6" w:space="1" w:color="auto"/>
        </w:pBdr>
        <w:rPr>
          <w:u w:val="single"/>
        </w:rPr>
      </w:pPr>
      <w:r w:rsidRPr="002E4E34">
        <w:rPr>
          <w:sz w:val="22"/>
          <w:szCs w:val="22"/>
          <w:lang w:eastAsia="en-US"/>
        </w:rPr>
        <w:t>Изисквания от възложителя относно абонамента за достъп до електронно съдържание на чуждестранни специализирани електронни издания за 20</w:t>
      </w:r>
      <w:r w:rsidRPr="000D3BE3">
        <w:rPr>
          <w:sz w:val="22"/>
          <w:szCs w:val="22"/>
          <w:lang w:eastAsia="en-US"/>
        </w:rPr>
        <w:t>1</w:t>
      </w:r>
      <w:r w:rsidR="00CA590D">
        <w:rPr>
          <w:sz w:val="22"/>
          <w:szCs w:val="22"/>
          <w:lang w:val="en-US" w:eastAsia="en-US"/>
        </w:rPr>
        <w:t>9</w:t>
      </w:r>
      <w:r w:rsidR="009B5659">
        <w:rPr>
          <w:sz w:val="22"/>
          <w:szCs w:val="22"/>
          <w:lang w:eastAsia="en-US"/>
        </w:rPr>
        <w:t xml:space="preserve"> </w:t>
      </w:r>
      <w:r w:rsidRPr="002E4E34">
        <w:rPr>
          <w:sz w:val="22"/>
          <w:szCs w:val="22"/>
          <w:lang w:eastAsia="en-US"/>
        </w:rPr>
        <w:t xml:space="preserve">г.– по заглавия и брой абонаменти. </w:t>
      </w:r>
    </w:p>
    <w:p w:rsidR="000A0704" w:rsidRPr="00757162" w:rsidRDefault="000A0704" w:rsidP="000A0704">
      <w:pPr>
        <w:spacing w:before="240" w:after="60"/>
        <w:ind w:firstLine="0"/>
        <w:jc w:val="center"/>
        <w:rPr>
          <w:b/>
          <w:szCs w:val="24"/>
          <w:lang w:eastAsia="en-US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6"/>
        <w:gridCol w:w="6399"/>
        <w:gridCol w:w="2275"/>
      </w:tblGrid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bookmarkStart w:id="0" w:name="_GoBack"/>
            <w:r w:rsidRPr="00757162">
              <w:rPr>
                <w:b/>
                <w:lang w:eastAsia="en-US"/>
              </w:rPr>
              <w:t>№</w:t>
            </w:r>
          </w:p>
        </w:tc>
        <w:tc>
          <w:tcPr>
            <w:tcW w:w="6399" w:type="dxa"/>
          </w:tcPr>
          <w:p w:rsidR="000A0704" w:rsidRPr="00FD77CB" w:rsidRDefault="000A0704" w:rsidP="005A027D">
            <w:pPr>
              <w:ind w:firstLine="0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Електронни бази данни и </w:t>
            </w:r>
            <w:r w:rsidR="005A027D">
              <w:rPr>
                <w:b/>
                <w:lang w:eastAsia="en-US"/>
              </w:rPr>
              <w:t>заглавия</w:t>
            </w:r>
            <w:r w:rsidRPr="000D3BE3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за абонамент</w:t>
            </w:r>
          </w:p>
        </w:tc>
        <w:tc>
          <w:tcPr>
            <w:tcW w:w="2275" w:type="dxa"/>
          </w:tcPr>
          <w:p w:rsidR="000A0704" w:rsidRPr="00506619" w:rsidRDefault="000A0704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 xml:space="preserve">Брой </w:t>
            </w:r>
            <w:r>
              <w:rPr>
                <w:b/>
                <w:lang w:eastAsia="en-US"/>
              </w:rPr>
              <w:t>абонаменти</w:t>
            </w:r>
            <w:r w:rsidR="00BA3650">
              <w:rPr>
                <w:b/>
                <w:lang w:eastAsia="en-US"/>
              </w:rPr>
              <w:t xml:space="preserve"> за </w:t>
            </w:r>
            <w:r w:rsidR="00506619">
              <w:rPr>
                <w:b/>
                <w:lang w:eastAsia="en-US"/>
              </w:rPr>
              <w:t>заглавие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6399" w:type="dxa"/>
          </w:tcPr>
          <w:p w:rsidR="000A0704" w:rsidRPr="00961FE7" w:rsidRDefault="000A0704" w:rsidP="0006360A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 w:rsidRPr="00961FE7">
              <w:rPr>
                <w:b/>
                <w:lang w:val="en-US" w:eastAsia="en-US"/>
              </w:rPr>
              <w:t xml:space="preserve">JSTOR: </w:t>
            </w:r>
            <w:r w:rsidR="00790846">
              <w:rPr>
                <w:lang w:val="en-US" w:eastAsia="en-US"/>
              </w:rPr>
              <w:t>online only</w:t>
            </w:r>
            <w:r w:rsidR="00790846">
              <w:rPr>
                <w:b/>
                <w:lang w:eastAsia="en-US"/>
              </w:rPr>
              <w:t xml:space="preserve"> </w:t>
            </w:r>
            <w:r w:rsidR="00790846">
              <w:rPr>
                <w:lang w:eastAsia="en-US"/>
              </w:rPr>
              <w:t>за колекциите:</w:t>
            </w:r>
          </w:p>
          <w:p w:rsidR="00AA1A31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Business I 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Business II</w:t>
            </w:r>
          </w:p>
          <w:p w:rsidR="008123C6" w:rsidRPr="00961FE7" w:rsidRDefault="00790846" w:rsidP="00AC242D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Mathematics &amp; Statistics</w:t>
            </w:r>
          </w:p>
        </w:tc>
        <w:tc>
          <w:tcPr>
            <w:tcW w:w="2275" w:type="dxa"/>
          </w:tcPr>
          <w:p w:rsidR="00AA1A31" w:rsidRDefault="00AA1A31" w:rsidP="008123C6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F81604" w:rsidRDefault="000A07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  <w:p w:rsidR="00F81604" w:rsidRDefault="00F816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F81604" w:rsidRPr="00F81604" w:rsidRDefault="00F81604" w:rsidP="00F81604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AA1A31" w:rsidRPr="00AA1A31" w:rsidRDefault="00AA1A31" w:rsidP="008123C6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Pr="00961FE7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 w:rsidRPr="00961FE7">
              <w:rPr>
                <w:b/>
                <w:lang w:val="en-US" w:eastAsia="en-US"/>
              </w:rPr>
              <w:t>WILEY Online Library: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s-ES" w:eastAsia="en-US"/>
              </w:rPr>
              <w:t>Econometrica Package (</w:t>
            </w:r>
            <w:r>
              <w:rPr>
                <w:sz w:val="20"/>
                <w:lang w:val="es-ES" w:eastAsia="en-US"/>
              </w:rPr>
              <w:t>Incl. Econometr.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val="es-ES" w:eastAsia="en-US"/>
              </w:rPr>
              <w:t>&amp;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0"/>
                <w:lang w:val="es-ES" w:eastAsia="en-US"/>
              </w:rPr>
              <w:t xml:space="preserve">Theor. Econ. </w:t>
            </w:r>
            <w:r>
              <w:rPr>
                <w:sz w:val="20"/>
                <w:lang w:val="en-US" w:eastAsia="en-US"/>
              </w:rPr>
              <w:t xml:space="preserve">&amp; Quantitat. Econ.) – online only – </w:t>
            </w:r>
            <w:r>
              <w:rPr>
                <w:szCs w:val="24"/>
                <w:lang w:val="en-US" w:eastAsia="en-US"/>
              </w:rPr>
              <w:t>MJECTA/E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Economic Package (</w:t>
            </w:r>
            <w:r>
              <w:rPr>
                <w:sz w:val="20"/>
                <w:lang w:val="en-US" w:eastAsia="en-US"/>
              </w:rPr>
              <w:t xml:space="preserve">Incl. The Economic Journal &amp; The Econometrics Journal) – online only – </w:t>
            </w:r>
            <w:r>
              <w:rPr>
                <w:szCs w:val="24"/>
                <w:lang w:val="en-US" w:eastAsia="en-US"/>
              </w:rPr>
              <w:t>MJECOJ/E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International Economic Review – online only – IERE/E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Journal of Money, Credit and Banking – JMCB/E</w:t>
            </w:r>
          </w:p>
          <w:p w:rsidR="000A0704" w:rsidRPr="00961FE7" w:rsidRDefault="00790846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szCs w:val="24"/>
                <w:lang w:val="en-US" w:eastAsia="en-US"/>
              </w:rPr>
              <w:t>Oxford Bulletin of Economics &amp; Statistics – OBES/E</w:t>
            </w:r>
          </w:p>
        </w:tc>
        <w:tc>
          <w:tcPr>
            <w:tcW w:w="2275" w:type="dxa"/>
          </w:tcPr>
          <w:p w:rsidR="00AA1A31" w:rsidRDefault="00AA1A31" w:rsidP="008123C6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0A0704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FD77CB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3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AEA Online – American Economic Association:</w:t>
            </w:r>
          </w:p>
          <w:p w:rsidR="000A0704" w:rsidRDefault="000A0704" w:rsidP="004212BA">
            <w:pPr>
              <w:spacing w:line="240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Групов абонамент за всичките 7 заглавия: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Applied 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Economic Policy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Macroeconomics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American Economic Journal: Microeconomics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Journal of Economic Literature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 American Economic Review</w:t>
            </w:r>
          </w:p>
          <w:p w:rsidR="000A0704" w:rsidRPr="00FD77CB" w:rsidRDefault="000A0704" w:rsidP="000A0704">
            <w:pPr>
              <w:numPr>
                <w:ilvl w:val="0"/>
                <w:numId w:val="4"/>
              </w:numPr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lastRenderedPageBreak/>
              <w:t>The Journal of Economic Perspectives</w:t>
            </w:r>
          </w:p>
        </w:tc>
        <w:tc>
          <w:tcPr>
            <w:tcW w:w="2275" w:type="dxa"/>
          </w:tcPr>
          <w:p w:rsidR="00AA1A31" w:rsidRDefault="00AA1A31" w:rsidP="00115F80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</w:p>
          <w:p w:rsidR="00AA1A31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0A0704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BD567F" w:rsidRDefault="00B21318" w:rsidP="00B21318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B21318" w:rsidRPr="00BD567F" w:rsidRDefault="00BD567F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1</w:t>
            </w:r>
          </w:p>
        </w:tc>
      </w:tr>
      <w:tr w:rsidR="000A0704" w:rsidRPr="00757162" w:rsidTr="0006360A">
        <w:trPr>
          <w:trHeight w:val="542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lastRenderedPageBreak/>
              <w:t>4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SienceDirect Online:</w:t>
            </w:r>
          </w:p>
          <w:p w:rsidR="000A0704" w:rsidRPr="00BB2E50" w:rsidRDefault="004065AE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Explorations in Economic History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 w:rsidRPr="00BB2E50">
              <w:rPr>
                <w:lang w:val="en-US" w:eastAsia="en-US"/>
              </w:rPr>
              <w:t>Journal of Banking and Finance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Financial Stability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International Economics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Macroeconomics</w:t>
            </w:r>
          </w:p>
          <w:p w:rsidR="000A0704" w:rsidRPr="00BB2E50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Journal of Monetary Economics</w:t>
            </w:r>
          </w:p>
        </w:tc>
        <w:tc>
          <w:tcPr>
            <w:tcW w:w="2275" w:type="dxa"/>
          </w:tcPr>
          <w:p w:rsidR="00B21318" w:rsidRDefault="00B21318" w:rsidP="004065AE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0A0704" w:rsidRDefault="004065AE" w:rsidP="004065AE">
            <w:pPr>
              <w:spacing w:line="240" w:lineRule="auto"/>
              <w:ind w:firstLine="0"/>
              <w:rPr>
                <w:lang w:eastAsia="en-US"/>
              </w:rPr>
            </w:pPr>
            <w:r>
              <w:rPr>
                <w:lang w:val="en-US" w:eastAsia="en-US"/>
              </w:rPr>
              <w:t xml:space="preserve">                </w:t>
            </w:r>
            <w:r w:rsidR="00B21318"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BB2E50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A0704" w:rsidRPr="00757162" w:rsidTr="0006360A">
        <w:trPr>
          <w:trHeight w:val="542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szCs w:val="24"/>
                <w:lang w:val="en-US" w:eastAsia="en-US"/>
              </w:rPr>
            </w:pPr>
            <w:r>
              <w:rPr>
                <w:b/>
                <w:szCs w:val="24"/>
                <w:lang w:val="en-US" w:eastAsia="en-US"/>
              </w:rPr>
              <w:t>Taylor &amp; Francis Online: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Cs w:val="24"/>
                <w:lang w:val="en-US" w:eastAsia="en-US"/>
              </w:rPr>
            </w:pPr>
            <w:r w:rsidRPr="00596BD2">
              <w:rPr>
                <w:szCs w:val="24"/>
                <w:lang w:val="en-US" w:eastAsia="en-US"/>
              </w:rPr>
              <w:t>Journal of Business and Economic Statistics</w:t>
            </w:r>
          </w:p>
          <w:p w:rsidR="000A0704" w:rsidRPr="00596BD2" w:rsidRDefault="000A0704" w:rsidP="0006360A">
            <w:pPr>
              <w:ind w:firstLine="0"/>
              <w:jc w:val="left"/>
              <w:rPr>
                <w:b/>
                <w:szCs w:val="24"/>
                <w:lang w:val="en-US" w:eastAsia="en-US"/>
              </w:rPr>
            </w:pPr>
          </w:p>
        </w:tc>
        <w:tc>
          <w:tcPr>
            <w:tcW w:w="2275" w:type="dxa"/>
          </w:tcPr>
          <w:p w:rsidR="00F81604" w:rsidRDefault="00F81604" w:rsidP="00F81604">
            <w:pPr>
              <w:spacing w:line="240" w:lineRule="auto"/>
              <w:ind w:firstLine="0"/>
              <w:rPr>
                <w:lang w:val="en-US" w:eastAsia="en-US"/>
              </w:rPr>
            </w:pPr>
          </w:p>
          <w:p w:rsidR="000A0704" w:rsidRPr="00596BD2" w:rsidRDefault="00F81604" w:rsidP="00F81604">
            <w:pPr>
              <w:ind w:firstLine="0"/>
              <w:rPr>
                <w:lang w:eastAsia="en-US"/>
              </w:rPr>
            </w:pPr>
            <w:r>
              <w:rPr>
                <w:lang w:val="en-US" w:eastAsia="en-US"/>
              </w:rPr>
              <w:t xml:space="preserve">                </w:t>
            </w:r>
            <w:r w:rsidR="00B21318">
              <w:rPr>
                <w:lang w:eastAsia="en-US"/>
              </w:rPr>
              <w:t xml:space="preserve">1 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Cambridge Online:</w:t>
            </w:r>
          </w:p>
          <w:p w:rsidR="000A0704" w:rsidRDefault="000A0704" w:rsidP="005A027D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 w:rsidRPr="00596BD2">
              <w:rPr>
                <w:lang w:val="en-US" w:eastAsia="en-US"/>
              </w:rPr>
              <w:t>Econometric Theory</w:t>
            </w:r>
          </w:p>
          <w:p w:rsidR="005A027D" w:rsidRPr="00596BD2" w:rsidRDefault="005A027D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Journal of Economic History</w:t>
            </w:r>
          </w:p>
        </w:tc>
        <w:tc>
          <w:tcPr>
            <w:tcW w:w="2275" w:type="dxa"/>
          </w:tcPr>
          <w:p w:rsidR="000A0704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  <w:p w:rsid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5A027D" w:rsidRPr="00C74811" w:rsidRDefault="005A027D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0A0704" w:rsidRPr="00757162" w:rsidTr="0006360A">
        <w:trPr>
          <w:trHeight w:val="527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MIT Press Online: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The Review of Economics and Statistics</w:t>
            </w:r>
          </w:p>
        </w:tc>
        <w:tc>
          <w:tcPr>
            <w:tcW w:w="2275" w:type="dxa"/>
          </w:tcPr>
          <w:p w:rsidR="00C74811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0A0704" w:rsidRPr="00596BD2" w:rsidRDefault="000A0704" w:rsidP="00C74811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8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Pr="00596BD2" w:rsidRDefault="000A0704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University of Chicago Press: </w:t>
            </w:r>
            <w:r>
              <w:rPr>
                <w:lang w:val="en-US" w:eastAsia="en-US"/>
              </w:rPr>
              <w:t>online only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jc w:val="left"/>
              <w:rPr>
                <w:b/>
                <w:lang w:val="en-US" w:eastAsia="en-US"/>
              </w:rPr>
            </w:pPr>
            <w:r>
              <w:rPr>
                <w:lang w:val="en-US" w:eastAsia="en-US"/>
              </w:rPr>
              <w:t>Journal of Political Economy</w:t>
            </w:r>
          </w:p>
        </w:tc>
        <w:tc>
          <w:tcPr>
            <w:tcW w:w="2275" w:type="dxa"/>
          </w:tcPr>
          <w:p w:rsidR="00C74811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0A0704" w:rsidRPr="00C74811" w:rsidRDefault="000A0704" w:rsidP="00C74811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9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0A0704" w:rsidRDefault="000A0704" w:rsidP="0006360A">
            <w:pPr>
              <w:spacing w:line="240" w:lineRule="auto"/>
              <w:ind w:firstLine="0"/>
              <w:jc w:val="left"/>
              <w:rPr>
                <w:lang w:val="en-US" w:eastAsia="en-US"/>
              </w:rPr>
            </w:pPr>
            <w:r>
              <w:rPr>
                <w:b/>
                <w:lang w:val="en-US" w:eastAsia="en-US"/>
              </w:rPr>
              <w:t xml:space="preserve">Oxford Journals Online: </w:t>
            </w:r>
            <w:r>
              <w:rPr>
                <w:lang w:val="en-US" w:eastAsia="en-US"/>
              </w:rPr>
              <w:t>online only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Economic Policy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Review of Economic Studies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The Quarterly Journal of Economics</w:t>
            </w:r>
          </w:p>
          <w:p w:rsidR="000A0704" w:rsidRPr="00596BD2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European Review of Economic History</w:t>
            </w:r>
          </w:p>
        </w:tc>
        <w:tc>
          <w:tcPr>
            <w:tcW w:w="2275" w:type="dxa"/>
          </w:tcPr>
          <w:p w:rsidR="000A0704" w:rsidRDefault="000A0704" w:rsidP="0006360A">
            <w:pPr>
              <w:ind w:firstLine="0"/>
              <w:jc w:val="center"/>
              <w:rPr>
                <w:lang w:eastAsia="en-US"/>
              </w:rPr>
            </w:pP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Default="00B21318" w:rsidP="00B21318">
            <w:pPr>
              <w:spacing w:line="240" w:lineRule="auto"/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B21318" w:rsidRPr="00D069AC" w:rsidRDefault="00B21318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A0704" w:rsidRPr="00757162" w:rsidTr="0006360A">
        <w:trPr>
          <w:trHeight w:val="949"/>
        </w:trPr>
        <w:tc>
          <w:tcPr>
            <w:tcW w:w="536" w:type="dxa"/>
          </w:tcPr>
          <w:p w:rsidR="000A0704" w:rsidRPr="00757162" w:rsidRDefault="000A0704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0A0704" w:rsidRPr="005F0F48" w:rsidRDefault="000A0704" w:rsidP="0006360A">
            <w:pPr>
              <w:spacing w:line="240" w:lineRule="auto"/>
              <w:ind w:firstLine="0"/>
              <w:jc w:val="left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CEPR DPS Online: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Programme areas</w:t>
            </w:r>
          </w:p>
          <w:p w:rsidR="000A0704" w:rsidRDefault="000A0704" w:rsidP="000A0704">
            <w:pPr>
              <w:numPr>
                <w:ilvl w:val="0"/>
                <w:numId w:val="4"/>
              </w:numPr>
              <w:spacing w:line="240" w:lineRule="auto"/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Financial Economics</w:t>
            </w:r>
          </w:p>
          <w:p w:rsidR="000A0704" w:rsidRPr="00D069AC" w:rsidRDefault="000A0704" w:rsidP="000A0704">
            <w:pPr>
              <w:numPr>
                <w:ilvl w:val="0"/>
                <w:numId w:val="4"/>
              </w:numPr>
              <w:jc w:val="left"/>
              <w:rPr>
                <w:lang w:val="en-US" w:eastAsia="en-US"/>
              </w:rPr>
            </w:pPr>
            <w:r>
              <w:rPr>
                <w:lang w:val="en-US" w:eastAsia="en-US"/>
              </w:rPr>
              <w:t>International Macroeconomics</w:t>
            </w:r>
          </w:p>
        </w:tc>
        <w:tc>
          <w:tcPr>
            <w:tcW w:w="2275" w:type="dxa"/>
          </w:tcPr>
          <w:p w:rsidR="00B21318" w:rsidRDefault="00B21318" w:rsidP="00B21318">
            <w:pPr>
              <w:ind w:firstLine="0"/>
              <w:jc w:val="center"/>
              <w:rPr>
                <w:lang w:eastAsia="en-US"/>
              </w:rPr>
            </w:pPr>
          </w:p>
          <w:p w:rsidR="000A0704" w:rsidRDefault="000A0704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 xml:space="preserve">1 </w:t>
            </w:r>
          </w:p>
          <w:p w:rsid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  <w:p w:rsidR="00C74811" w:rsidRPr="00C74811" w:rsidRDefault="00C74811" w:rsidP="00C74811">
            <w:pPr>
              <w:spacing w:line="240" w:lineRule="auto"/>
              <w:ind w:firstLine="0"/>
              <w:jc w:val="center"/>
              <w:rPr>
                <w:lang w:val="en-US" w:eastAsia="en-US"/>
              </w:rPr>
            </w:pPr>
          </w:p>
        </w:tc>
      </w:tr>
      <w:bookmarkEnd w:id="0"/>
    </w:tbl>
    <w:p w:rsidR="00CA0FB9" w:rsidRDefault="00CA0FB9" w:rsidP="00CD5E1C">
      <w:pPr>
        <w:spacing w:before="240" w:after="60"/>
        <w:ind w:firstLine="0"/>
        <w:jc w:val="left"/>
        <w:rPr>
          <w:b/>
          <w:lang w:eastAsia="en-US"/>
        </w:rPr>
      </w:pPr>
    </w:p>
    <w:p w:rsidR="00CA0FB9" w:rsidRDefault="00CA0FB9" w:rsidP="00CD5E1C">
      <w:pPr>
        <w:spacing w:before="240" w:after="60"/>
        <w:ind w:firstLine="0"/>
        <w:jc w:val="left"/>
        <w:rPr>
          <w:b/>
          <w:lang w:eastAsia="en-US"/>
        </w:rPr>
      </w:pPr>
    </w:p>
    <w:p w:rsidR="005A027D" w:rsidRPr="005A027D" w:rsidRDefault="00CD5E1C" w:rsidP="00CD5E1C">
      <w:pPr>
        <w:spacing w:before="240" w:after="60"/>
        <w:ind w:firstLine="0"/>
        <w:jc w:val="left"/>
        <w:rPr>
          <w:b/>
          <w:lang w:val="en-US" w:eastAsia="en-US"/>
        </w:rPr>
      </w:pPr>
      <w:r>
        <w:rPr>
          <w:b/>
          <w:lang w:eastAsia="en-US"/>
        </w:rPr>
        <w:lastRenderedPageBreak/>
        <w:t>Изисквания на възложителя:</w:t>
      </w:r>
    </w:p>
    <w:p w:rsidR="000A0704" w:rsidRDefault="00C33B54" w:rsidP="000A0704">
      <w:pPr>
        <w:pStyle w:val="a"/>
        <w:spacing w:before="0" w:line="240" w:lineRule="auto"/>
        <w:ind w:firstLine="0"/>
        <w:rPr>
          <w:szCs w:val="24"/>
        </w:rPr>
      </w:pPr>
      <w:r>
        <w:rPr>
          <w:szCs w:val="24"/>
        </w:rPr>
        <w:tab/>
      </w:r>
    </w:p>
    <w:p w:rsidR="00AE2793" w:rsidRDefault="00AE2793" w:rsidP="000D3BE3">
      <w:pPr>
        <w:pStyle w:val="a0"/>
        <w:numPr>
          <w:ilvl w:val="0"/>
          <w:numId w:val="5"/>
        </w:numPr>
        <w:tabs>
          <w:tab w:val="left" w:pos="709"/>
          <w:tab w:val="left" w:pos="9639"/>
        </w:tabs>
        <w:spacing w:before="0"/>
      </w:pPr>
      <w:r w:rsidRPr="00FA5910">
        <w:t>Участниците следва да могат да осигуря</w:t>
      </w:r>
      <w:r w:rsidR="00C33B54">
        <w:t>т работещ достъп до електронното съдържание</w:t>
      </w:r>
      <w:r w:rsidRPr="00FA5910">
        <w:t xml:space="preserve"> на посочените по </w:t>
      </w:r>
      <w:r w:rsidR="00C33B54">
        <w:t>настоящата спецификация</w:t>
      </w:r>
      <w:r w:rsidRPr="00FA5910">
        <w:t xml:space="preserve"> чуждестранни</w:t>
      </w:r>
      <w:r w:rsidR="00C33B54">
        <w:t xml:space="preserve"> специализирани</w:t>
      </w:r>
      <w:r w:rsidRPr="00FA5910">
        <w:t xml:space="preserve"> електронни издания през порталите на различни бази данни чрез предоставяне на актуален електронен акаунт и парола за достъп. Този достъп трябва да включва освен пълнотекстово ползване – четене и сваляне на специализирани текстове на текущи съдържания на издания, и достъп до архив от стари годишнини на въпросните издания – за период от 10 </w:t>
      </w:r>
      <w:r w:rsidRPr="000D3BE3">
        <w:t>(</w:t>
      </w:r>
      <w:r w:rsidRPr="00FA5910">
        <w:t>десет</w:t>
      </w:r>
      <w:r w:rsidRPr="000D3BE3">
        <w:t>)</w:t>
      </w:r>
      <w:r w:rsidRPr="00FA5910">
        <w:t xml:space="preserve"> год</w:t>
      </w:r>
      <w:r w:rsidR="00E56303">
        <w:t>ини назад, считано от 31.12.201</w:t>
      </w:r>
      <w:r w:rsidR="00E56303">
        <w:rPr>
          <w:lang w:val="en-US"/>
        </w:rPr>
        <w:t>8</w:t>
      </w:r>
      <w:r w:rsidR="00746404">
        <w:t xml:space="preserve"> </w:t>
      </w:r>
      <w:r w:rsidRPr="00FA5910">
        <w:t>г</w:t>
      </w:r>
      <w:r>
        <w:t>. Да е осигурена</w:t>
      </w:r>
      <w:r w:rsidRPr="00FA5910">
        <w:t xml:space="preserve"> възможност за достъп до електронното съдържание на специализирани издания и само чрез </w:t>
      </w:r>
      <w:r w:rsidRPr="00FA5910">
        <w:rPr>
          <w:lang w:val="en-US"/>
        </w:rPr>
        <w:t>IP</w:t>
      </w:r>
      <w:r w:rsidRPr="000D3BE3">
        <w:t>-</w:t>
      </w:r>
      <w:r w:rsidRPr="00FA5910">
        <w:t xml:space="preserve">идентификация през мрежовото информационно пространство на възложителя. </w:t>
      </w:r>
    </w:p>
    <w:p w:rsidR="00C33B54" w:rsidRPr="0022494E" w:rsidRDefault="00C33B54" w:rsidP="000D3BE3">
      <w:pPr>
        <w:pStyle w:val="ListParagraph"/>
        <w:numPr>
          <w:ilvl w:val="0"/>
          <w:numId w:val="5"/>
        </w:numPr>
        <w:spacing w:before="0"/>
      </w:pPr>
      <w:r w:rsidRPr="0022494E">
        <w:t>Участниците следва да предлагат въз</w:t>
      </w:r>
      <w:r>
        <w:t xml:space="preserve">можност </w:t>
      </w:r>
      <w:r w:rsidRPr="0022494E">
        <w:t xml:space="preserve">за </w:t>
      </w:r>
      <w:r>
        <w:t>достъп до електронното съдържание на</w:t>
      </w:r>
      <w:r w:rsidRPr="0022494E">
        <w:t xml:space="preserve"> вечерн</w:t>
      </w:r>
      <w:r>
        <w:t xml:space="preserve">и и/или извънредни и/или втори </w:t>
      </w:r>
      <w:r w:rsidRPr="0022494E">
        <w:t>броеве от посочените в спецификацията издания.</w:t>
      </w:r>
    </w:p>
    <w:p w:rsidR="00C33B54" w:rsidRDefault="00C33B54" w:rsidP="000D3BE3">
      <w:pPr>
        <w:pStyle w:val="a"/>
        <w:numPr>
          <w:ilvl w:val="0"/>
          <w:numId w:val="5"/>
        </w:numPr>
        <w:spacing w:before="0"/>
      </w:pPr>
      <w:r w:rsidRPr="00746404">
        <w:t xml:space="preserve">Участниците следва да предлагат възможност </w:t>
      </w:r>
      <w:r w:rsidR="00134C69" w:rsidRPr="00746404">
        <w:t xml:space="preserve">да се поръча </w:t>
      </w:r>
      <w:r w:rsidR="00134C69">
        <w:t>допълнителн</w:t>
      </w:r>
      <w:r w:rsidR="00746404">
        <w:t>о</w:t>
      </w:r>
      <w:r w:rsidR="00134C69">
        <w:t xml:space="preserve"> количеств</w:t>
      </w:r>
      <w:r w:rsidR="00746404">
        <w:t>о</w:t>
      </w:r>
      <w:r w:rsidR="00134C69">
        <w:t xml:space="preserve"> </w:t>
      </w:r>
      <w:r w:rsidR="00746404">
        <w:t xml:space="preserve">достъп до електронното съдържание </w:t>
      </w:r>
      <w:r w:rsidRPr="00055432">
        <w:t xml:space="preserve">на исканите от възложителя </w:t>
      </w:r>
      <w:r>
        <w:t>чуждестранни специализирани електронни</w:t>
      </w:r>
      <w:r w:rsidRPr="00055432">
        <w:t xml:space="preserve"> издания текущо през годината</w:t>
      </w:r>
      <w:r>
        <w:t xml:space="preserve"> по писмена заявка на възложителя</w:t>
      </w:r>
      <w:r w:rsidRPr="00055432">
        <w:t>.</w:t>
      </w:r>
      <w:r w:rsidRPr="00746404">
        <w:t xml:space="preserve"> </w:t>
      </w:r>
    </w:p>
    <w:p w:rsidR="00AE2793" w:rsidRPr="00F81FA7" w:rsidRDefault="00AE2793" w:rsidP="000D3BE3">
      <w:pPr>
        <w:pStyle w:val="a0"/>
        <w:numPr>
          <w:ilvl w:val="0"/>
          <w:numId w:val="5"/>
        </w:numPr>
        <w:tabs>
          <w:tab w:val="left" w:pos="709"/>
          <w:tab w:val="left" w:pos="9639"/>
        </w:tabs>
        <w:spacing w:before="0"/>
      </w:pPr>
      <w:r>
        <w:t>Участниците</w:t>
      </w:r>
      <w:r w:rsidRPr="00FA5910">
        <w:t xml:space="preserve"> да разполага</w:t>
      </w:r>
      <w:r>
        <w:t>т с възможност</w:t>
      </w:r>
      <w:r w:rsidRPr="00FA5910">
        <w:t xml:space="preserve"> при необходимост да </w:t>
      </w:r>
      <w:r w:rsidRPr="00746404">
        <w:t xml:space="preserve">осъществят обучение на до 5 </w:t>
      </w:r>
      <w:r w:rsidRPr="000D3BE3">
        <w:t>(</w:t>
      </w:r>
      <w:r w:rsidRPr="00746404">
        <w:t>петима</w:t>
      </w:r>
      <w:r w:rsidRPr="000D3BE3">
        <w:t>)</w:t>
      </w:r>
      <w:r w:rsidRPr="00746404">
        <w:t xml:space="preserve"> служители на възложителя относно особеностите в управлението на електронния достъп и/или условията за електронен достъп, включително и в случаи на по-нататъшни актуализации на същите, без допълнително заплащането от страна на </w:t>
      </w:r>
      <w:r w:rsidRPr="00F81FA7">
        <w:t xml:space="preserve">възложителя. </w:t>
      </w:r>
    </w:p>
    <w:p w:rsidR="00F11268" w:rsidRPr="00746404" w:rsidRDefault="00AE2793" w:rsidP="000D3BE3">
      <w:pPr>
        <w:pStyle w:val="a"/>
        <w:numPr>
          <w:ilvl w:val="0"/>
          <w:numId w:val="5"/>
        </w:numPr>
        <w:spacing w:before="0"/>
      </w:pPr>
      <w:r w:rsidRPr="000D3BE3">
        <w:t>Участниците следва да приложат списък на издателите/издателите разпространители, с които работят.</w:t>
      </w:r>
      <w:r w:rsidRPr="00746404">
        <w:t xml:space="preserve"> </w:t>
      </w:r>
    </w:p>
    <w:p w:rsidR="000D3BE3" w:rsidRDefault="00F11268" w:rsidP="000D3BE3">
      <w:pPr>
        <w:pStyle w:val="a"/>
        <w:numPr>
          <w:ilvl w:val="0"/>
          <w:numId w:val="5"/>
        </w:numPr>
        <w:spacing w:before="0"/>
      </w:pPr>
      <w:r w:rsidRPr="00746404">
        <w:t>Доставките се извършват на територията на гр. София</w:t>
      </w:r>
      <w:r>
        <w:t>,</w:t>
      </w:r>
      <w:r w:rsidRPr="00746404">
        <w:t xml:space="preserve"> Централната сграда на Българската народна банка в гр. София, пл. „Княз Александър </w:t>
      </w:r>
      <w:r w:rsidRPr="000D3BE3">
        <w:t>I</w:t>
      </w:r>
      <w:r w:rsidRPr="00746404">
        <w:t>“ № 1</w:t>
      </w:r>
    </w:p>
    <w:p w:rsidR="006374E8" w:rsidRDefault="006374E8" w:rsidP="006374E8">
      <w:pPr>
        <w:pStyle w:val="a"/>
        <w:spacing w:before="0"/>
        <w:ind w:left="1080" w:firstLine="0"/>
      </w:pPr>
    </w:p>
    <w:p w:rsidR="004D3513" w:rsidRDefault="000A0704" w:rsidP="0059253C">
      <w:pPr>
        <w:pStyle w:val="Iaeeiiaaaao"/>
        <w:spacing w:before="0"/>
      </w:pPr>
      <w:r w:rsidRPr="000D3BE3">
        <w:t>Забележка</w:t>
      </w:r>
      <w:r>
        <w:t>: на участника, избран за изпълнител</w:t>
      </w:r>
      <w:r w:rsidR="004279A1">
        <w:t>, при подписване на договора за обществена поръчка, ще бъде предоставен Списък с: а</w:t>
      </w:r>
      <w:r w:rsidR="004279A1" w:rsidRPr="000D3BE3">
        <w:t xml:space="preserve">) </w:t>
      </w:r>
      <w:r w:rsidR="004279A1">
        <w:t xml:space="preserve">актуалните </w:t>
      </w:r>
      <w:r w:rsidR="004279A1" w:rsidRPr="000D3BE3">
        <w:t>IP</w:t>
      </w:r>
      <w:r w:rsidR="004279A1">
        <w:t xml:space="preserve"> адреси на БНБ при осигуряване на активен достъп до електронно съдържание на дадено издание чрез </w:t>
      </w:r>
      <w:r w:rsidR="004279A1" w:rsidRPr="000D3BE3">
        <w:t>IP</w:t>
      </w:r>
      <w:r w:rsidR="004279A1">
        <w:t>-идентификация през информационното мрежово пространство на възложителя и б</w:t>
      </w:r>
      <w:r w:rsidR="004279A1" w:rsidRPr="000D3BE3">
        <w:t>)</w:t>
      </w:r>
      <w:r w:rsidR="004279A1">
        <w:t xml:space="preserve"> </w:t>
      </w:r>
      <w:r w:rsidR="004279A1">
        <w:lastRenderedPageBreak/>
        <w:t>потребителските имена с пароли к</w:t>
      </w:r>
      <w:r w:rsidR="00670679">
        <w:t>ъм тях, съобразно Приложение № 1в</w:t>
      </w:r>
      <w:r w:rsidR="004279A1">
        <w:t>. Възложителят си запазва правото при възникване на необходимост да допълва и/или променя този списък с адреси/потребителски имена и пароли по време на действие на договора.</w:t>
      </w:r>
      <w:r w:rsidR="004279A1">
        <w:rPr>
          <w:b/>
        </w:rPr>
        <w:t xml:space="preserve"> </w:t>
      </w:r>
      <w:r w:rsidR="004279A1">
        <w:t>Възложителят се задължава писмено да уведомява избрания за изпълнител участник</w:t>
      </w:r>
      <w:r w:rsidR="004279A1">
        <w:rPr>
          <w:b/>
        </w:rPr>
        <w:t xml:space="preserve"> </w:t>
      </w:r>
      <w:r w:rsidR="004279A1">
        <w:t>за извършени промени в списъка.</w:t>
      </w:r>
    </w:p>
    <w:sectPr w:rsidR="004D3513" w:rsidSect="004279A1">
      <w:headerReference w:type="default" r:id="rId7"/>
      <w:footerReference w:type="default" r:id="rId8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E55" w:rsidRDefault="003D5E55">
      <w:pPr>
        <w:spacing w:before="0" w:line="240" w:lineRule="auto"/>
      </w:pPr>
      <w:r>
        <w:separator/>
      </w:r>
    </w:p>
  </w:endnote>
  <w:endnote w:type="continuationSeparator" w:id="0">
    <w:p w:rsidR="003D5E55" w:rsidRDefault="003D5E5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E9A" w:rsidRDefault="007F39F5">
    <w:pPr>
      <w:pStyle w:val="Footer"/>
      <w:jc w:val="right"/>
    </w:pPr>
    <w:r>
      <w:fldChar w:fldCharType="begin"/>
    </w:r>
    <w:r w:rsidR="000A0704">
      <w:instrText xml:space="preserve"> PAGE   \* MERGEFORMAT </w:instrText>
    </w:r>
    <w:r>
      <w:fldChar w:fldCharType="separate"/>
    </w:r>
    <w:r w:rsidR="006374E8">
      <w:rPr>
        <w:noProof/>
      </w:rPr>
      <w:t>3</w:t>
    </w:r>
    <w:r>
      <w:rPr>
        <w:noProof/>
      </w:rPr>
      <w:fldChar w:fldCharType="end"/>
    </w:r>
  </w:p>
  <w:p w:rsidR="00CE6E9A" w:rsidRDefault="003D5E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E55" w:rsidRDefault="003D5E55">
      <w:pPr>
        <w:spacing w:before="0" w:line="240" w:lineRule="auto"/>
      </w:pPr>
      <w:r>
        <w:separator/>
      </w:r>
    </w:p>
  </w:footnote>
  <w:footnote w:type="continuationSeparator" w:id="0">
    <w:p w:rsidR="003D5E55" w:rsidRDefault="003D5E5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B03" w:rsidRDefault="009D0B03">
    <w:pPr>
      <w:pStyle w:val="Header"/>
    </w:pPr>
  </w:p>
  <w:p w:rsidR="009D0B03" w:rsidRDefault="009D0B03">
    <w:pPr>
      <w:pStyle w:val="Header"/>
    </w:pPr>
    <w:r>
      <w:t xml:space="preserve">                                                                                                                    Приложение № 1</w:t>
    </w:r>
    <w:r w:rsidR="00670679">
      <w:t>в</w:t>
    </w:r>
  </w:p>
  <w:p w:rsidR="00670679" w:rsidRDefault="0067067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E04AF"/>
    <w:multiLevelType w:val="hybridMultilevel"/>
    <w:tmpl w:val="11AC5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3676FB"/>
    <w:multiLevelType w:val="hybridMultilevel"/>
    <w:tmpl w:val="491C1D18"/>
    <w:lvl w:ilvl="0" w:tplc="0402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775094C"/>
    <w:multiLevelType w:val="hybridMultilevel"/>
    <w:tmpl w:val="055E6AC2"/>
    <w:lvl w:ilvl="0" w:tplc="DD8E2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3B7CBE"/>
    <w:multiLevelType w:val="hybridMultilevel"/>
    <w:tmpl w:val="CE1A4D8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2905391"/>
    <w:multiLevelType w:val="hybridMultilevel"/>
    <w:tmpl w:val="038EB8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ospodin Gochev">
    <w15:presenceInfo w15:providerId="Windows Live" w15:userId="19824d24f0763f9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0704"/>
    <w:rsid w:val="000061B2"/>
    <w:rsid w:val="00014123"/>
    <w:rsid w:val="00091D9B"/>
    <w:rsid w:val="000A0704"/>
    <w:rsid w:val="000D2515"/>
    <w:rsid w:val="000D367F"/>
    <w:rsid w:val="000D3BE3"/>
    <w:rsid w:val="000F1CBB"/>
    <w:rsid w:val="00107259"/>
    <w:rsid w:val="00115F80"/>
    <w:rsid w:val="00134C69"/>
    <w:rsid w:val="001D4E23"/>
    <w:rsid w:val="001D5A2C"/>
    <w:rsid w:val="001E1F6E"/>
    <w:rsid w:val="001E734A"/>
    <w:rsid w:val="00204412"/>
    <w:rsid w:val="002118A1"/>
    <w:rsid w:val="00247485"/>
    <w:rsid w:val="002B7D8C"/>
    <w:rsid w:val="00306632"/>
    <w:rsid w:val="0032053B"/>
    <w:rsid w:val="00331C03"/>
    <w:rsid w:val="00347A17"/>
    <w:rsid w:val="003549CC"/>
    <w:rsid w:val="003B76F2"/>
    <w:rsid w:val="003D5E55"/>
    <w:rsid w:val="004065AE"/>
    <w:rsid w:val="004212BA"/>
    <w:rsid w:val="004279A1"/>
    <w:rsid w:val="00451C71"/>
    <w:rsid w:val="004963AD"/>
    <w:rsid w:val="004B078C"/>
    <w:rsid w:val="004D3513"/>
    <w:rsid w:val="004E1654"/>
    <w:rsid w:val="004F5D5A"/>
    <w:rsid w:val="00506619"/>
    <w:rsid w:val="005451A9"/>
    <w:rsid w:val="005618D6"/>
    <w:rsid w:val="00571CF2"/>
    <w:rsid w:val="0059253C"/>
    <w:rsid w:val="005A027D"/>
    <w:rsid w:val="005A4731"/>
    <w:rsid w:val="005A49B4"/>
    <w:rsid w:val="005A758C"/>
    <w:rsid w:val="006374E8"/>
    <w:rsid w:val="00643EF2"/>
    <w:rsid w:val="00656DCB"/>
    <w:rsid w:val="00670679"/>
    <w:rsid w:val="00685A3A"/>
    <w:rsid w:val="006E2408"/>
    <w:rsid w:val="00721FED"/>
    <w:rsid w:val="00746404"/>
    <w:rsid w:val="00785ECE"/>
    <w:rsid w:val="00790846"/>
    <w:rsid w:val="00793E40"/>
    <w:rsid w:val="007B39C0"/>
    <w:rsid w:val="007F39F5"/>
    <w:rsid w:val="00811AA1"/>
    <w:rsid w:val="008123C6"/>
    <w:rsid w:val="00841A6F"/>
    <w:rsid w:val="00894115"/>
    <w:rsid w:val="008D0196"/>
    <w:rsid w:val="008F6326"/>
    <w:rsid w:val="00922991"/>
    <w:rsid w:val="009311F7"/>
    <w:rsid w:val="00960CA4"/>
    <w:rsid w:val="00961FE7"/>
    <w:rsid w:val="009A34D3"/>
    <w:rsid w:val="009B5659"/>
    <w:rsid w:val="009D0B03"/>
    <w:rsid w:val="00A0528B"/>
    <w:rsid w:val="00A15AD1"/>
    <w:rsid w:val="00A36058"/>
    <w:rsid w:val="00AA1A31"/>
    <w:rsid w:val="00AB64D6"/>
    <w:rsid w:val="00AC242D"/>
    <w:rsid w:val="00AE2793"/>
    <w:rsid w:val="00B20F01"/>
    <w:rsid w:val="00B21318"/>
    <w:rsid w:val="00B23D05"/>
    <w:rsid w:val="00BA3650"/>
    <w:rsid w:val="00BA69FA"/>
    <w:rsid w:val="00BD567F"/>
    <w:rsid w:val="00C33B54"/>
    <w:rsid w:val="00C44118"/>
    <w:rsid w:val="00C74811"/>
    <w:rsid w:val="00C976A1"/>
    <w:rsid w:val="00CA0FB9"/>
    <w:rsid w:val="00CA49CA"/>
    <w:rsid w:val="00CA590D"/>
    <w:rsid w:val="00CB071E"/>
    <w:rsid w:val="00CD5E1C"/>
    <w:rsid w:val="00CF5D00"/>
    <w:rsid w:val="00D34012"/>
    <w:rsid w:val="00E0349A"/>
    <w:rsid w:val="00E23184"/>
    <w:rsid w:val="00E23E6F"/>
    <w:rsid w:val="00E32098"/>
    <w:rsid w:val="00E56303"/>
    <w:rsid w:val="00E81D43"/>
    <w:rsid w:val="00E9451E"/>
    <w:rsid w:val="00EA5AAA"/>
    <w:rsid w:val="00EA6D8D"/>
    <w:rsid w:val="00EC0E2B"/>
    <w:rsid w:val="00F11268"/>
    <w:rsid w:val="00F219B1"/>
    <w:rsid w:val="00F3608A"/>
    <w:rsid w:val="00F7300E"/>
    <w:rsid w:val="00F81604"/>
    <w:rsid w:val="00F81FA7"/>
    <w:rsid w:val="00F91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704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0A0704"/>
  </w:style>
  <w:style w:type="paragraph" w:styleId="Footer">
    <w:name w:val="footer"/>
    <w:basedOn w:val="Header"/>
    <w:link w:val="FooterChar"/>
    <w:uiPriority w:val="99"/>
    <w:rsid w:val="000A0704"/>
    <w:pPr>
      <w:tabs>
        <w:tab w:val="clear" w:pos="4536"/>
        <w:tab w:val="clear" w:pos="9072"/>
        <w:tab w:val="right" w:pos="10773"/>
      </w:tabs>
      <w:ind w:firstLine="0"/>
      <w:jc w:val="left"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0A0704"/>
    <w:rPr>
      <w:rFonts w:ascii="Times New Roman" w:eastAsia="Times New Roman" w:hAnsi="Times New Roman" w:cs="Times New Roman"/>
      <w:i/>
      <w:szCs w:val="20"/>
      <w:lang w:eastAsia="bg-BG"/>
    </w:rPr>
  </w:style>
  <w:style w:type="character" w:styleId="CommentReference">
    <w:name w:val="annotation reference"/>
    <w:rsid w:val="000A07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0A070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A070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0A0704"/>
    <w:rPr>
      <w:color w:val="0000FF"/>
      <w:u w:val="single"/>
    </w:rPr>
  </w:style>
  <w:style w:type="paragraph" w:customStyle="1" w:styleId="Iaeeiiaaaao">
    <w:name w:val="Iaeei. ia?aa?ao"/>
    <w:basedOn w:val="Normal"/>
    <w:rsid w:val="000A0704"/>
  </w:style>
  <w:style w:type="paragraph" w:customStyle="1" w:styleId="a0">
    <w:name w:val="Îáèêí. ïàðàãðàô"/>
    <w:basedOn w:val="Normal"/>
    <w:rsid w:val="000A0704"/>
  </w:style>
  <w:style w:type="paragraph" w:styleId="Header">
    <w:name w:val="header"/>
    <w:basedOn w:val="Normal"/>
    <w:link w:val="HeaderChar"/>
    <w:uiPriority w:val="99"/>
    <w:unhideWhenUsed/>
    <w:rsid w:val="000A070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704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70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704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C33B5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59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5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679</Words>
  <Characters>3873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BNB User</cp:lastModifiedBy>
  <cp:revision>24</cp:revision>
  <cp:lastPrinted>2016-10-26T08:40:00Z</cp:lastPrinted>
  <dcterms:created xsi:type="dcterms:W3CDTF">2018-05-18T12:47:00Z</dcterms:created>
  <dcterms:modified xsi:type="dcterms:W3CDTF">2018-07-31T08:14:00Z</dcterms:modified>
</cp:coreProperties>
</file>