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AE4" w:rsidRPr="00650130" w:rsidRDefault="00C52AE4" w:rsidP="004C5B91">
      <w:pPr>
        <w:spacing w:after="0" w:line="360" w:lineRule="auto"/>
        <w:jc w:val="center"/>
        <w:rPr>
          <w:rFonts w:ascii="Times New Roman" w:eastAsia="Calibri" w:hAnsi="Times New Roman" w:cs="Times New Roman"/>
          <w:b/>
          <w:sz w:val="24"/>
          <w:szCs w:val="24"/>
          <w:lang w:eastAsia="bg-BG"/>
        </w:rPr>
      </w:pPr>
      <w:r w:rsidRPr="00650130">
        <w:rPr>
          <w:rFonts w:ascii="Times New Roman" w:eastAsia="Calibri" w:hAnsi="Times New Roman" w:cs="Times New Roman"/>
          <w:b/>
          <w:sz w:val="24"/>
          <w:szCs w:val="24"/>
          <w:lang w:eastAsia="bg-BG"/>
        </w:rPr>
        <w:t xml:space="preserve">УКАЗАНИЯ </w:t>
      </w:r>
    </w:p>
    <w:p w:rsidR="00C52AE4" w:rsidRPr="00650130" w:rsidRDefault="00C52AE4" w:rsidP="004C5B91">
      <w:pPr>
        <w:spacing w:after="0" w:line="360" w:lineRule="auto"/>
        <w:jc w:val="center"/>
        <w:rPr>
          <w:rFonts w:ascii="Times New Roman" w:eastAsia="Calibri" w:hAnsi="Times New Roman" w:cs="Times New Roman"/>
          <w:b/>
          <w:sz w:val="24"/>
          <w:szCs w:val="24"/>
          <w:lang w:eastAsia="bg-BG"/>
        </w:rPr>
      </w:pPr>
      <w:r w:rsidRPr="00650130">
        <w:rPr>
          <w:rFonts w:ascii="Times New Roman" w:eastAsia="Calibri" w:hAnsi="Times New Roman" w:cs="Times New Roman"/>
          <w:b/>
          <w:sz w:val="24"/>
          <w:szCs w:val="24"/>
          <w:lang w:eastAsia="bg-BG"/>
        </w:rPr>
        <w:t>ЗА ПОДГОТОВКА НА ДОКУМЕНТИТЕ ЗА УЧАСТИЕ</w:t>
      </w:r>
    </w:p>
    <w:p w:rsidR="00C52AE4" w:rsidRPr="00650130" w:rsidRDefault="00C52AE4" w:rsidP="004C5B91">
      <w:pPr>
        <w:spacing w:after="0" w:line="360" w:lineRule="auto"/>
        <w:jc w:val="center"/>
        <w:rPr>
          <w:rFonts w:ascii="Times New Roman" w:eastAsia="Calibri" w:hAnsi="Times New Roman" w:cs="Times New Roman"/>
          <w:b/>
          <w:sz w:val="24"/>
          <w:szCs w:val="24"/>
          <w:lang w:eastAsia="bg-BG"/>
        </w:rPr>
      </w:pPr>
      <w:r w:rsidRPr="00650130">
        <w:rPr>
          <w:rFonts w:ascii="Times New Roman" w:eastAsia="Calibri" w:hAnsi="Times New Roman" w:cs="Times New Roman"/>
          <w:b/>
          <w:sz w:val="24"/>
          <w:szCs w:val="24"/>
          <w:lang w:eastAsia="bg-BG"/>
        </w:rPr>
        <w:t>в публично състезание за възлагане на обществена поръчка с предмет</w:t>
      </w:r>
    </w:p>
    <w:p w:rsidR="00C52AE4" w:rsidRPr="00650130" w:rsidRDefault="00C52AE4" w:rsidP="004C5B91">
      <w:pPr>
        <w:spacing w:after="0" w:line="360" w:lineRule="auto"/>
        <w:jc w:val="center"/>
        <w:rPr>
          <w:rFonts w:ascii="Times New Roman" w:eastAsia="Times New Roman" w:hAnsi="Times New Roman" w:cs="Times New Roman"/>
          <w:b/>
          <w:sz w:val="24"/>
          <w:szCs w:val="24"/>
          <w:lang w:eastAsia="bg-BG"/>
        </w:rPr>
      </w:pPr>
      <w:r w:rsidRPr="00650130" w:rsidDel="00262D89">
        <w:rPr>
          <w:rFonts w:ascii="Times New Roman" w:eastAsia="Times New Roman" w:hAnsi="Times New Roman" w:cs="Times New Roman"/>
          <w:b/>
          <w:sz w:val="24"/>
          <w:szCs w:val="24"/>
          <w:lang w:eastAsia="bg-BG"/>
        </w:rPr>
        <w:t xml:space="preserve"> </w:t>
      </w:r>
      <w:r w:rsidRPr="00650130">
        <w:rPr>
          <w:rFonts w:ascii="Times New Roman" w:eastAsia="Times New Roman" w:hAnsi="Times New Roman" w:cs="Times New Roman"/>
          <w:b/>
          <w:sz w:val="24"/>
          <w:szCs w:val="24"/>
          <w:lang w:eastAsia="bg-BG"/>
        </w:rPr>
        <w:t>„П</w:t>
      </w:r>
      <w:r w:rsidRPr="00650130">
        <w:rPr>
          <w:rFonts w:ascii="Times New Roman" w:eastAsia="Calibri" w:hAnsi="Times New Roman" w:cs="Times New Roman"/>
          <w:b/>
          <w:sz w:val="24"/>
          <w:szCs w:val="24"/>
          <w:lang w:eastAsia="bg-BG"/>
        </w:rPr>
        <w:t xml:space="preserve">оддръжка на банкнотообработващи системи </w:t>
      </w:r>
      <w:r w:rsidRPr="00650130">
        <w:rPr>
          <w:rFonts w:ascii="Times New Roman" w:eastAsia="Calibri" w:hAnsi="Times New Roman" w:cs="Times New Roman"/>
          <w:b/>
          <w:sz w:val="24"/>
          <w:szCs w:val="24"/>
        </w:rPr>
        <w:t xml:space="preserve">марка DeLaRue, модел CPS 1500 5/4 </w:t>
      </w:r>
      <w:r w:rsidRPr="00650130">
        <w:rPr>
          <w:rFonts w:ascii="Times New Roman" w:eastAsia="Calibri" w:hAnsi="Times New Roman" w:cs="Times New Roman"/>
          <w:b/>
          <w:sz w:val="24"/>
          <w:szCs w:val="24"/>
          <w:lang w:eastAsia="bg-BG"/>
        </w:rPr>
        <w:t>и спомагателно оборудване към тях по две обособени позиции”</w:t>
      </w:r>
    </w:p>
    <w:p w:rsidR="00C52AE4" w:rsidRPr="00650130" w:rsidRDefault="00C52AE4" w:rsidP="004C5B91">
      <w:pPr>
        <w:spacing w:after="0" w:line="360" w:lineRule="auto"/>
        <w:ind w:firstLine="709"/>
        <w:contextualSpacing/>
        <w:rPr>
          <w:rFonts w:ascii="Times New Roman" w:eastAsia="Times New Roman" w:hAnsi="Times New Roman" w:cs="Times New Roman"/>
          <w:b/>
          <w:sz w:val="24"/>
          <w:szCs w:val="24"/>
          <w:lang w:eastAsia="bg-BG"/>
        </w:rPr>
      </w:pPr>
    </w:p>
    <w:p w:rsidR="00C52AE4" w:rsidRPr="00650130" w:rsidRDefault="00C52AE4" w:rsidP="004C5B91">
      <w:pPr>
        <w:keepNext/>
        <w:keepLines/>
        <w:spacing w:after="0" w:line="360" w:lineRule="auto"/>
        <w:ind w:firstLine="709"/>
        <w:jc w:val="both"/>
        <w:outlineLvl w:val="0"/>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І. ПРЕДМЕТ, СРОК И МЯСТО НА ИЗПЪЛНЕНИЕ НА ПОРЪЧКАТА. ТЕХНИЧЕСКИ СПЕЦИФИКАЦИИ.</w:t>
      </w:r>
    </w:p>
    <w:p w:rsidR="00C52AE4" w:rsidRPr="00650130" w:rsidRDefault="00C52AE4" w:rsidP="004C5B91">
      <w:pPr>
        <w:keepNext/>
        <w:keepLines/>
        <w:spacing w:after="0" w:line="360" w:lineRule="auto"/>
        <w:ind w:firstLine="709"/>
        <w:jc w:val="both"/>
        <w:outlineLvl w:val="1"/>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1. Предмет на обществената поръчка:</w:t>
      </w:r>
    </w:p>
    <w:p w:rsidR="00C52AE4" w:rsidRPr="00650130" w:rsidRDefault="00C52AE4" w:rsidP="004C5B91">
      <w:pPr>
        <w:keepNext/>
        <w:keepLines/>
        <w:spacing w:after="0" w:line="360" w:lineRule="auto"/>
        <w:ind w:firstLine="709"/>
        <w:jc w:val="both"/>
        <w:outlineLvl w:val="1"/>
        <w:rPr>
          <w:rFonts w:ascii="Times New Roman" w:eastAsia="Times New Roman" w:hAnsi="Times New Roman" w:cs="Times New Roman"/>
          <w:bCs/>
          <w:sz w:val="24"/>
          <w:szCs w:val="24"/>
          <w:lang w:eastAsia="bg-BG"/>
        </w:rPr>
      </w:pPr>
      <w:r w:rsidRPr="00650130">
        <w:rPr>
          <w:rFonts w:ascii="Times New Roman" w:eastAsia="Times New Roman" w:hAnsi="Times New Roman" w:cs="Times New Roman"/>
          <w:b/>
          <w:bCs/>
          <w:sz w:val="24"/>
          <w:szCs w:val="24"/>
          <w:lang w:eastAsia="bg-BG"/>
        </w:rPr>
        <w:t xml:space="preserve"> </w:t>
      </w:r>
      <w:r w:rsidRPr="00650130">
        <w:rPr>
          <w:rFonts w:ascii="Times New Roman" w:eastAsia="Times New Roman" w:hAnsi="Times New Roman" w:cs="Times New Roman"/>
          <w:bCs/>
          <w:sz w:val="24"/>
          <w:szCs w:val="24"/>
          <w:lang w:eastAsia="bg-BG"/>
        </w:rPr>
        <w:t xml:space="preserve">„Поддръжка на банкнотообработващи системи </w:t>
      </w:r>
      <w:r w:rsidRPr="00650130">
        <w:rPr>
          <w:rFonts w:ascii="Times New Roman" w:eastAsia="Times New Roman" w:hAnsi="Times New Roman" w:cs="Times New Roman"/>
          <w:bCs/>
          <w:sz w:val="24"/>
          <w:szCs w:val="24"/>
        </w:rPr>
        <w:t xml:space="preserve">марка DeLaRue, модел CPS 1500 5/4 </w:t>
      </w:r>
      <w:r w:rsidRPr="00650130">
        <w:rPr>
          <w:rFonts w:ascii="Times New Roman" w:eastAsia="Times New Roman" w:hAnsi="Times New Roman" w:cs="Times New Roman"/>
          <w:bCs/>
          <w:sz w:val="24"/>
          <w:szCs w:val="24"/>
          <w:lang w:eastAsia="bg-BG"/>
        </w:rPr>
        <w:t>и спомагателно оборудване към тях по две обособени позиции</w:t>
      </w:r>
      <w:r w:rsidR="00025BBC" w:rsidRPr="00650130">
        <w:rPr>
          <w:rFonts w:ascii="Times New Roman" w:eastAsia="Times New Roman" w:hAnsi="Times New Roman" w:cs="Times New Roman"/>
          <w:bCs/>
          <w:sz w:val="24"/>
          <w:szCs w:val="24"/>
          <w:lang w:eastAsia="bg-BG"/>
        </w:rPr>
        <w:t>“.</w:t>
      </w:r>
    </w:p>
    <w:p w:rsidR="00C52AE4" w:rsidRPr="00650130" w:rsidRDefault="00C52AE4"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Times New Roman" w:hAnsi="Times New Roman" w:cs="Times New Roman"/>
          <w:b/>
          <w:sz w:val="24"/>
          <w:szCs w:val="24"/>
          <w:lang w:eastAsia="bg-BG"/>
        </w:rPr>
        <w:t>Обособена позиция № 1</w:t>
      </w:r>
      <w:r w:rsidRPr="00650130">
        <w:rPr>
          <w:rFonts w:ascii="Times New Roman" w:eastAsia="Times New Roman" w:hAnsi="Times New Roman" w:cs="Times New Roman"/>
          <w:sz w:val="24"/>
          <w:szCs w:val="24"/>
          <w:lang w:eastAsia="bg-BG"/>
        </w:rPr>
        <w:t xml:space="preserve"> – „</w:t>
      </w:r>
      <w:r w:rsidRPr="00650130">
        <w:rPr>
          <w:rFonts w:ascii="Times New Roman" w:eastAsia="Calibri" w:hAnsi="Times New Roman" w:cs="Times New Roman"/>
          <w:sz w:val="24"/>
          <w:szCs w:val="24"/>
          <w:lang w:eastAsia="bg-BG"/>
        </w:rPr>
        <w:t xml:space="preserve">Доставка на резервни и износващи се части за банкнотообработващи системи </w:t>
      </w:r>
      <w:r w:rsidRPr="00650130">
        <w:rPr>
          <w:rFonts w:ascii="Times New Roman" w:eastAsia="Calibri" w:hAnsi="Times New Roman" w:cs="Times New Roman"/>
          <w:sz w:val="24"/>
          <w:szCs w:val="24"/>
        </w:rPr>
        <w:t xml:space="preserve">марка DeLaRue, модел </w:t>
      </w:r>
      <w:r w:rsidRPr="00650130">
        <w:rPr>
          <w:rFonts w:ascii="Times New Roman" w:eastAsia="Calibri" w:hAnsi="Times New Roman" w:cs="Times New Roman"/>
          <w:sz w:val="24"/>
          <w:szCs w:val="24"/>
          <w:lang w:eastAsia="bg-BG"/>
        </w:rPr>
        <w:t>CPS1500 5/4 и спомагателно оборудване към тях</w:t>
      </w:r>
      <w:r w:rsidR="00025BBC" w:rsidRPr="00650130">
        <w:rPr>
          <w:rFonts w:ascii="Times New Roman" w:eastAsia="Calibri" w:hAnsi="Times New Roman" w:cs="Times New Roman"/>
          <w:sz w:val="24"/>
          <w:szCs w:val="24"/>
          <w:lang w:eastAsia="bg-BG"/>
        </w:rPr>
        <w:t>“</w:t>
      </w:r>
      <w:r w:rsidR="002A4FD4" w:rsidRPr="00650130">
        <w:rPr>
          <w:rFonts w:ascii="Times New Roman" w:eastAsia="Calibri" w:hAnsi="Times New Roman" w:cs="Times New Roman"/>
          <w:sz w:val="24"/>
          <w:szCs w:val="24"/>
          <w:lang w:eastAsia="bg-BG"/>
        </w:rPr>
        <w:t>.</w:t>
      </w:r>
    </w:p>
    <w:p w:rsidR="00C52AE4" w:rsidRPr="00650130" w:rsidRDefault="00C52AE4" w:rsidP="004C5B91">
      <w:pPr>
        <w:spacing w:after="0" w:line="360" w:lineRule="auto"/>
        <w:ind w:firstLine="709"/>
        <w:jc w:val="both"/>
        <w:rPr>
          <w:rFonts w:ascii="Times New Roman" w:eastAsia="Calibri" w:hAnsi="Times New Roman" w:cs="Times New Roman"/>
          <w:sz w:val="24"/>
          <w:szCs w:val="24"/>
        </w:rPr>
      </w:pPr>
      <w:r w:rsidRPr="00650130">
        <w:rPr>
          <w:rFonts w:ascii="Times New Roman" w:eastAsia="Times New Roman" w:hAnsi="Times New Roman" w:cs="Times New Roman"/>
          <w:b/>
          <w:sz w:val="24"/>
          <w:szCs w:val="24"/>
          <w:lang w:eastAsia="bg-BG"/>
        </w:rPr>
        <w:t>Обособена позиция № 2</w:t>
      </w:r>
      <w:r w:rsidRPr="00650130">
        <w:rPr>
          <w:rFonts w:ascii="Times New Roman" w:eastAsia="Times New Roman" w:hAnsi="Times New Roman" w:cs="Times New Roman"/>
          <w:sz w:val="24"/>
          <w:szCs w:val="24"/>
          <w:lang w:eastAsia="bg-BG"/>
        </w:rPr>
        <w:t xml:space="preserve"> – „И</w:t>
      </w:r>
      <w:r w:rsidRPr="00650130">
        <w:rPr>
          <w:rFonts w:ascii="Times New Roman" w:eastAsia="Calibri" w:hAnsi="Times New Roman" w:cs="Times New Roman"/>
          <w:sz w:val="24"/>
          <w:szCs w:val="24"/>
        </w:rPr>
        <w:t>звършване на годишна профилактика на 2 броя банкнотообработващи системи марка DeLaRue, модел CPS 1500 5/4 и спомагателно оборудване към тях</w:t>
      </w:r>
      <w:r w:rsidR="00025BBC" w:rsidRPr="00650130">
        <w:rPr>
          <w:rFonts w:ascii="Times New Roman" w:eastAsia="Calibri" w:hAnsi="Times New Roman" w:cs="Times New Roman"/>
          <w:sz w:val="24"/>
          <w:szCs w:val="24"/>
        </w:rPr>
        <w:t>“.</w:t>
      </w:r>
    </w:p>
    <w:p w:rsidR="00C52AE4" w:rsidRPr="00650130" w:rsidRDefault="00C52AE4" w:rsidP="004C5B91">
      <w:pPr>
        <w:spacing w:after="0" w:line="360" w:lineRule="auto"/>
        <w:ind w:firstLine="709"/>
        <w:jc w:val="both"/>
        <w:rPr>
          <w:rFonts w:ascii="Times New Roman" w:eastAsia="Calibri" w:hAnsi="Times New Roman" w:cs="Times New Roman"/>
          <w:i/>
          <w:sz w:val="24"/>
          <w:szCs w:val="24"/>
        </w:rPr>
      </w:pPr>
      <w:r w:rsidRPr="00650130">
        <w:rPr>
          <w:rFonts w:ascii="Times New Roman" w:eastAsia="Calibri" w:hAnsi="Times New Roman" w:cs="Times New Roman"/>
          <w:b/>
          <w:i/>
          <w:sz w:val="24"/>
          <w:szCs w:val="24"/>
        </w:rPr>
        <w:t xml:space="preserve">Забележка: </w:t>
      </w:r>
      <w:r w:rsidRPr="00650130">
        <w:rPr>
          <w:rFonts w:ascii="Times New Roman" w:eastAsia="Calibri" w:hAnsi="Times New Roman" w:cs="Times New Roman"/>
          <w:i/>
          <w:sz w:val="24"/>
          <w:szCs w:val="24"/>
        </w:rPr>
        <w:t>Спомагателното оборудване към 2 броя банкнотообработващи системи марка DeLaRue, модел CPS 1500 5/4 включва: пакетираща линия UBS Bundler/ATS, конвейер и опаковъчна линия W700-80/Maxi 50T, ръчен унищожител DLR40/40-320/150 и брикетираща система за изрезки от банкноти тип Oscar Plus.</w:t>
      </w:r>
    </w:p>
    <w:p w:rsidR="00C52AE4" w:rsidRPr="00650130" w:rsidRDefault="00C52AE4" w:rsidP="004C5B91">
      <w:pPr>
        <w:spacing w:after="0" w:line="360" w:lineRule="auto"/>
        <w:ind w:firstLine="709"/>
        <w:jc w:val="both"/>
        <w:textAlignment w:val="top"/>
        <w:rPr>
          <w:rFonts w:ascii="Times New Roman" w:eastAsia="Times New Roman" w:hAnsi="Times New Roman" w:cs="Times New Roman"/>
          <w:b/>
          <w:sz w:val="24"/>
          <w:szCs w:val="24"/>
          <w:lang w:eastAsia="bg-BG"/>
        </w:rPr>
      </w:pPr>
      <w:r w:rsidRPr="00650130">
        <w:rPr>
          <w:rFonts w:ascii="Times New Roman" w:eastAsia="Times New Roman" w:hAnsi="Times New Roman" w:cs="Times New Roman"/>
          <w:b/>
          <w:sz w:val="24"/>
          <w:szCs w:val="24"/>
          <w:lang w:eastAsia="bg-BG"/>
        </w:rPr>
        <w:t>Всеки участник може да подава оферта за една или за всички обособени позиции.</w:t>
      </w:r>
    </w:p>
    <w:p w:rsidR="00C52AE4" w:rsidRPr="00650130" w:rsidRDefault="00C52AE4" w:rsidP="004C5B91">
      <w:pPr>
        <w:spacing w:after="0" w:line="360" w:lineRule="auto"/>
        <w:ind w:firstLine="709"/>
        <w:contextualSpacing/>
        <w:jc w:val="both"/>
        <w:rPr>
          <w:rFonts w:ascii="Times New Roman" w:eastAsia="Times New Roman" w:hAnsi="Times New Roman" w:cs="Times New Roman"/>
          <w:b/>
          <w:sz w:val="24"/>
          <w:szCs w:val="24"/>
          <w:lang w:eastAsia="bg-BG"/>
        </w:rPr>
      </w:pPr>
      <w:r w:rsidRPr="00650130">
        <w:rPr>
          <w:rFonts w:ascii="Times New Roman" w:eastAsia="Times New Roman" w:hAnsi="Times New Roman" w:cs="Times New Roman"/>
          <w:b/>
          <w:sz w:val="24"/>
          <w:szCs w:val="24"/>
          <w:lang w:eastAsia="bg-BG"/>
        </w:rPr>
        <w:t>2. Срок на изпълнение:</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По обособена позиция № 1</w:t>
      </w:r>
      <w:r w:rsidRPr="00650130">
        <w:rPr>
          <w:rFonts w:ascii="Times New Roman" w:eastAsia="Times New Roman" w:hAnsi="Times New Roman" w:cs="Times New Roman"/>
          <w:sz w:val="24"/>
          <w:szCs w:val="24"/>
          <w:lang w:eastAsia="bg-BG"/>
        </w:rPr>
        <w:t xml:space="preserve"> - договорът се сключва с избрания изпълнител за срок от 1 (една) година, считано от датата на подписването му. Датата на подписване е датата от регистрационния номер на възложителя, поставен на стр. 1 от проекта на договора, неразделна част от документацията на поръчката.</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По обособена позиция № 2</w:t>
      </w:r>
      <w:r w:rsidRPr="00650130">
        <w:rPr>
          <w:rFonts w:ascii="Times New Roman" w:eastAsia="Times New Roman" w:hAnsi="Times New Roman" w:cs="Times New Roman"/>
          <w:sz w:val="24"/>
          <w:szCs w:val="24"/>
          <w:lang w:eastAsia="bg-BG"/>
        </w:rPr>
        <w:t xml:space="preserve"> </w:t>
      </w:r>
      <w:r w:rsidR="00E326A4" w:rsidRPr="00650130">
        <w:rPr>
          <w:rFonts w:ascii="Times New Roman" w:eastAsia="Times New Roman" w:hAnsi="Times New Roman" w:cs="Times New Roman"/>
          <w:sz w:val="24"/>
          <w:szCs w:val="24"/>
          <w:lang w:eastAsia="bg-BG"/>
        </w:rPr>
        <w:t>–</w:t>
      </w:r>
      <w:r w:rsidRPr="00650130">
        <w:rPr>
          <w:rFonts w:ascii="Times New Roman" w:eastAsia="Times New Roman" w:hAnsi="Times New Roman" w:cs="Times New Roman"/>
          <w:sz w:val="24"/>
          <w:szCs w:val="24"/>
          <w:lang w:eastAsia="bg-BG"/>
        </w:rPr>
        <w:t xml:space="preserve"> </w:t>
      </w:r>
      <w:r w:rsidR="00E326A4" w:rsidRPr="00650130">
        <w:rPr>
          <w:rFonts w:ascii="Times New Roman" w:eastAsia="Times New Roman" w:hAnsi="Times New Roman" w:cs="Times New Roman"/>
          <w:sz w:val="24"/>
          <w:szCs w:val="24"/>
          <w:lang w:eastAsia="bg-BG"/>
        </w:rPr>
        <w:t xml:space="preserve">услугата </w:t>
      </w:r>
      <w:r w:rsidR="00E326A4" w:rsidRPr="00650130">
        <w:rPr>
          <w:rFonts w:ascii="Times New Roman" w:eastAsia="Calibri" w:hAnsi="Times New Roman" w:cs="Times New Roman"/>
          <w:sz w:val="24"/>
          <w:szCs w:val="24"/>
        </w:rPr>
        <w:t>ще се извърши еднократно,</w:t>
      </w:r>
      <w:r w:rsidR="00E326A4" w:rsidRPr="00650130">
        <w:rPr>
          <w:rFonts w:ascii="Times New Roman" w:eastAsia="Calibri" w:hAnsi="Times New Roman" w:cs="Times New Roman"/>
          <w:sz w:val="24"/>
          <w:szCs w:val="24"/>
          <w:lang w:eastAsia="bg-BG"/>
        </w:rPr>
        <w:t xml:space="preserve"> в срок предложен в техническото предложение на избрания за изпълнител участник</w:t>
      </w:r>
      <w:r w:rsidRPr="00650130">
        <w:rPr>
          <w:rFonts w:ascii="Times New Roman" w:eastAsia="Times New Roman" w:hAnsi="Times New Roman" w:cs="Times New Roman"/>
          <w:sz w:val="24"/>
          <w:szCs w:val="24"/>
          <w:lang w:eastAsia="bg-BG"/>
        </w:rPr>
        <w:t>.</w:t>
      </w:r>
    </w:p>
    <w:p w:rsidR="00C52AE4" w:rsidRPr="00650130" w:rsidRDefault="00C52AE4" w:rsidP="004C5B91">
      <w:pPr>
        <w:spacing w:after="0" w:line="360" w:lineRule="auto"/>
        <w:ind w:firstLine="709"/>
        <w:jc w:val="both"/>
        <w:rPr>
          <w:rFonts w:ascii="Times New Roman" w:eastAsia="Times New Roman" w:hAnsi="Times New Roman" w:cs="Times New Roman"/>
          <w:b/>
          <w:sz w:val="24"/>
          <w:szCs w:val="24"/>
          <w:lang w:eastAsia="bg-BG"/>
        </w:rPr>
      </w:pPr>
      <w:r w:rsidRPr="00650130">
        <w:rPr>
          <w:rFonts w:ascii="Times New Roman" w:eastAsia="Calibri" w:hAnsi="Times New Roman" w:cs="Times New Roman"/>
          <w:b/>
          <w:sz w:val="24"/>
          <w:szCs w:val="24"/>
        </w:rPr>
        <w:t>3</w:t>
      </w:r>
      <w:r w:rsidRPr="00650130">
        <w:rPr>
          <w:rFonts w:ascii="Times New Roman" w:eastAsia="Times New Roman" w:hAnsi="Times New Roman" w:cs="Times New Roman"/>
          <w:b/>
          <w:sz w:val="24"/>
          <w:szCs w:val="24"/>
          <w:lang w:eastAsia="bg-BG"/>
        </w:rPr>
        <w:t xml:space="preserve">. Място на изпълнение: </w:t>
      </w:r>
    </w:p>
    <w:p w:rsidR="00C52AE4" w:rsidRPr="00650130" w:rsidRDefault="00C52AE4" w:rsidP="004C5B91">
      <w:pPr>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b/>
          <w:sz w:val="24"/>
          <w:szCs w:val="24"/>
        </w:rPr>
        <w:t>По обособена позиция № 1</w:t>
      </w:r>
      <w:r w:rsidRPr="00650130">
        <w:rPr>
          <w:rFonts w:ascii="Times New Roman" w:eastAsia="Calibri" w:hAnsi="Times New Roman" w:cs="Times New Roman"/>
          <w:sz w:val="24"/>
          <w:szCs w:val="24"/>
        </w:rPr>
        <w:t xml:space="preserve"> – избраният и</w:t>
      </w:r>
      <w:r w:rsidRPr="00650130">
        <w:rPr>
          <w:rFonts w:ascii="Times New Roman" w:eastAsia="Calibri" w:hAnsi="Times New Roman" w:cs="Times New Roman"/>
          <w:sz w:val="24"/>
          <w:szCs w:val="24"/>
          <w:lang w:eastAsia="bg-BG"/>
        </w:rPr>
        <w:t>зпълнител се задължава да доставя резервните и износващи се части до сградата на БНБ на адрес:</w:t>
      </w:r>
      <w:r w:rsidR="00025BBC" w:rsidRPr="00650130">
        <w:rPr>
          <w:rFonts w:ascii="Times New Roman" w:eastAsia="Calibri" w:hAnsi="Times New Roman" w:cs="Times New Roman"/>
          <w:sz w:val="24"/>
          <w:szCs w:val="24"/>
          <w:lang w:eastAsia="bg-BG"/>
        </w:rPr>
        <w:t xml:space="preserve"> гр.</w:t>
      </w:r>
      <w:r w:rsidRPr="00650130">
        <w:rPr>
          <w:rFonts w:ascii="Times New Roman" w:eastAsia="Calibri" w:hAnsi="Times New Roman" w:cs="Times New Roman"/>
          <w:sz w:val="24"/>
          <w:szCs w:val="24"/>
          <w:lang w:eastAsia="bg-BG"/>
        </w:rPr>
        <w:t xml:space="preserve"> София</w:t>
      </w:r>
      <w:r w:rsidR="00025BBC" w:rsidRPr="00650130">
        <w:rPr>
          <w:rFonts w:ascii="Times New Roman" w:eastAsia="Calibri" w:hAnsi="Times New Roman" w:cs="Times New Roman"/>
          <w:sz w:val="24"/>
          <w:szCs w:val="24"/>
          <w:lang w:eastAsia="bg-BG"/>
        </w:rPr>
        <w:t xml:space="preserve"> 1784</w:t>
      </w:r>
      <w:r w:rsidRPr="00650130">
        <w:rPr>
          <w:rFonts w:ascii="Times New Roman" w:eastAsia="Calibri" w:hAnsi="Times New Roman" w:cs="Times New Roman"/>
          <w:sz w:val="24"/>
          <w:szCs w:val="24"/>
          <w:lang w:eastAsia="bg-BG"/>
        </w:rPr>
        <w:t xml:space="preserve">, ул. „Михаил </w:t>
      </w:r>
      <w:r w:rsidRPr="00650130">
        <w:rPr>
          <w:rFonts w:ascii="Times New Roman" w:eastAsia="Calibri" w:hAnsi="Times New Roman" w:cs="Times New Roman"/>
          <w:sz w:val="24"/>
          <w:szCs w:val="24"/>
          <w:lang w:eastAsia="bg-BG"/>
        </w:rPr>
        <w:lastRenderedPageBreak/>
        <w:t>Тенев</w:t>
      </w:r>
      <w:r w:rsidR="00025BBC" w:rsidRPr="00650130">
        <w:rPr>
          <w:rFonts w:ascii="Times New Roman" w:eastAsia="Calibri" w:hAnsi="Times New Roman" w:cs="Times New Roman"/>
          <w:sz w:val="24"/>
          <w:szCs w:val="24"/>
          <w:lang w:eastAsia="bg-BG"/>
        </w:rPr>
        <w:t>“</w:t>
      </w:r>
      <w:r w:rsidRPr="00650130">
        <w:rPr>
          <w:rFonts w:ascii="Times New Roman" w:eastAsia="Calibri" w:hAnsi="Times New Roman" w:cs="Times New Roman"/>
          <w:sz w:val="24"/>
          <w:szCs w:val="24"/>
          <w:lang w:eastAsia="bg-BG"/>
        </w:rPr>
        <w:t xml:space="preserve"> № 10, Касов център на БНБ, съгласно условията за доставка DAP Sofia (с включени транспортни разходи, Incoterms 2010). </w:t>
      </w:r>
    </w:p>
    <w:p w:rsidR="00C52AE4" w:rsidRPr="00650130" w:rsidRDefault="00C52AE4" w:rsidP="004C5B91">
      <w:pPr>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b/>
          <w:sz w:val="24"/>
          <w:szCs w:val="24"/>
        </w:rPr>
        <w:t>По обособена позиция № 2</w:t>
      </w:r>
      <w:r w:rsidRPr="00650130">
        <w:rPr>
          <w:rFonts w:ascii="Times New Roman" w:eastAsia="Calibri" w:hAnsi="Times New Roman" w:cs="Times New Roman"/>
          <w:sz w:val="24"/>
          <w:szCs w:val="24"/>
        </w:rPr>
        <w:t xml:space="preserve"> – избраният изпълнител се задължава да извърши годишната профилактика на системите на адрес: </w:t>
      </w:r>
      <w:r w:rsidR="002A4FD4" w:rsidRPr="00650130">
        <w:rPr>
          <w:rFonts w:ascii="Times New Roman" w:eastAsia="Calibri" w:hAnsi="Times New Roman" w:cs="Times New Roman"/>
          <w:sz w:val="24"/>
          <w:szCs w:val="24"/>
        </w:rPr>
        <w:t xml:space="preserve">Касов център на БНБ, на адрес: </w:t>
      </w:r>
      <w:r w:rsidRPr="00650130">
        <w:rPr>
          <w:rFonts w:ascii="Times New Roman" w:eastAsia="Calibri" w:hAnsi="Times New Roman" w:cs="Times New Roman"/>
          <w:sz w:val="24"/>
          <w:szCs w:val="24"/>
        </w:rPr>
        <w:t>гр. София</w:t>
      </w:r>
      <w:r w:rsidR="00FE459B" w:rsidRPr="00650130">
        <w:rPr>
          <w:rFonts w:ascii="Times New Roman" w:eastAsia="Calibri" w:hAnsi="Times New Roman" w:cs="Times New Roman"/>
          <w:sz w:val="24"/>
          <w:szCs w:val="24"/>
        </w:rPr>
        <w:t xml:space="preserve"> 1784</w:t>
      </w:r>
      <w:r w:rsidRPr="00650130">
        <w:rPr>
          <w:rFonts w:ascii="Times New Roman" w:eastAsia="Calibri" w:hAnsi="Times New Roman" w:cs="Times New Roman"/>
          <w:sz w:val="24"/>
          <w:szCs w:val="24"/>
        </w:rPr>
        <w:t>, ул. „Михаил Тенев</w:t>
      </w:r>
      <w:r w:rsidR="00FE459B" w:rsidRPr="00650130">
        <w:rPr>
          <w:rFonts w:ascii="Times New Roman" w:eastAsia="Calibri" w:hAnsi="Times New Roman" w:cs="Times New Roman"/>
          <w:sz w:val="24"/>
          <w:szCs w:val="24"/>
        </w:rPr>
        <w:t>“</w:t>
      </w:r>
      <w:r w:rsidRPr="00650130">
        <w:rPr>
          <w:rFonts w:ascii="Times New Roman" w:eastAsia="Calibri" w:hAnsi="Times New Roman" w:cs="Times New Roman"/>
          <w:sz w:val="24"/>
          <w:szCs w:val="24"/>
        </w:rPr>
        <w:t xml:space="preserve"> № 10</w:t>
      </w:r>
      <w:r w:rsidR="00FE459B" w:rsidRPr="00650130">
        <w:rPr>
          <w:rFonts w:ascii="Times New Roman" w:eastAsia="Calibri" w:hAnsi="Times New Roman" w:cs="Times New Roman"/>
          <w:sz w:val="24"/>
          <w:szCs w:val="24"/>
        </w:rPr>
        <w:t>, Касов център на БНБ</w:t>
      </w:r>
      <w:r w:rsidRPr="00650130">
        <w:rPr>
          <w:rFonts w:ascii="Times New Roman" w:eastAsia="Calibri" w:hAnsi="Times New Roman" w:cs="Times New Roman"/>
          <w:sz w:val="24"/>
          <w:szCs w:val="24"/>
        </w:rPr>
        <w:t>.</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4. Технически спецификации:</w:t>
      </w:r>
    </w:p>
    <w:p w:rsidR="00C52AE4" w:rsidRPr="00650130" w:rsidRDefault="00C52AE4" w:rsidP="004C5B91">
      <w:pPr>
        <w:tabs>
          <w:tab w:val="left" w:pos="426"/>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 xml:space="preserve">По обособена позиция № 1 - </w:t>
      </w:r>
      <w:r w:rsidRPr="00650130">
        <w:rPr>
          <w:rFonts w:ascii="Times New Roman" w:eastAsia="Times New Roman" w:hAnsi="Times New Roman" w:cs="Times New Roman"/>
          <w:sz w:val="24"/>
          <w:szCs w:val="24"/>
          <w:lang w:eastAsia="bg-BG"/>
        </w:rPr>
        <w:t>Предлаганите резервни и износващи се части от участниците трябва да отговарят на параметрите, посочени в Приложение № 1</w:t>
      </w:r>
      <w:r w:rsidR="0065479C" w:rsidRPr="00650130">
        <w:rPr>
          <w:rFonts w:ascii="Times New Roman" w:eastAsia="Times New Roman" w:hAnsi="Times New Roman" w:cs="Times New Roman"/>
          <w:sz w:val="24"/>
          <w:szCs w:val="24"/>
          <w:lang w:eastAsia="bg-BG"/>
        </w:rPr>
        <w:t>а</w:t>
      </w:r>
      <w:r w:rsidRPr="00650130">
        <w:rPr>
          <w:rFonts w:ascii="Times New Roman" w:eastAsia="Times New Roman" w:hAnsi="Times New Roman" w:cs="Times New Roman"/>
          <w:sz w:val="24"/>
          <w:szCs w:val="24"/>
          <w:lang w:eastAsia="bg-BG"/>
        </w:rPr>
        <w:t xml:space="preserve"> – „Техническа спецификация“</w:t>
      </w:r>
      <w:r w:rsidR="00E326A4" w:rsidRPr="00650130">
        <w:rPr>
          <w:rFonts w:ascii="Times New Roman" w:eastAsia="Times New Roman" w:hAnsi="Times New Roman" w:cs="Times New Roman"/>
          <w:sz w:val="24"/>
          <w:szCs w:val="24"/>
          <w:lang w:eastAsia="bg-BG"/>
        </w:rPr>
        <w:t xml:space="preserve"> за ОП № 1</w:t>
      </w:r>
      <w:r w:rsidRPr="00650130">
        <w:rPr>
          <w:rFonts w:ascii="Times New Roman" w:eastAsia="Times New Roman" w:hAnsi="Times New Roman" w:cs="Times New Roman"/>
          <w:sz w:val="24"/>
          <w:szCs w:val="24"/>
          <w:lang w:eastAsia="bg-BG"/>
        </w:rPr>
        <w:t xml:space="preserve">, което е неразделна част от документацията </w:t>
      </w:r>
      <w:r w:rsidR="00A231CC" w:rsidRPr="00650130">
        <w:rPr>
          <w:rFonts w:ascii="Times New Roman" w:eastAsia="Times New Roman" w:hAnsi="Times New Roman" w:cs="Times New Roman"/>
          <w:sz w:val="24"/>
          <w:szCs w:val="24"/>
          <w:lang w:eastAsia="bg-BG"/>
        </w:rPr>
        <w:t>н</w:t>
      </w:r>
      <w:r w:rsidRPr="00650130">
        <w:rPr>
          <w:rFonts w:ascii="Times New Roman" w:eastAsia="Times New Roman" w:hAnsi="Times New Roman" w:cs="Times New Roman"/>
          <w:sz w:val="24"/>
          <w:szCs w:val="24"/>
          <w:lang w:eastAsia="bg-BG"/>
        </w:rPr>
        <w:t xml:space="preserve">а </w:t>
      </w:r>
      <w:r w:rsidR="0065479C" w:rsidRPr="00650130">
        <w:rPr>
          <w:rFonts w:ascii="Times New Roman" w:eastAsia="Times New Roman" w:hAnsi="Times New Roman" w:cs="Times New Roman"/>
          <w:sz w:val="24"/>
          <w:szCs w:val="24"/>
          <w:lang w:eastAsia="bg-BG"/>
        </w:rPr>
        <w:t>обществената поръчка</w:t>
      </w:r>
      <w:r w:rsidRPr="00650130">
        <w:rPr>
          <w:rFonts w:ascii="Times New Roman" w:eastAsia="Times New Roman" w:hAnsi="Times New Roman" w:cs="Times New Roman"/>
          <w:sz w:val="24"/>
          <w:szCs w:val="24"/>
          <w:lang w:eastAsia="bg-BG"/>
        </w:rPr>
        <w:t>.</w:t>
      </w:r>
    </w:p>
    <w:p w:rsidR="00C52AE4" w:rsidRPr="00650130" w:rsidRDefault="00C52AE4" w:rsidP="004C5B91">
      <w:pPr>
        <w:tabs>
          <w:tab w:val="left" w:pos="426"/>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Посочените количества резервни и износващи се части в Приложение № 1</w:t>
      </w:r>
      <w:r w:rsidR="00A231CC" w:rsidRPr="00650130">
        <w:rPr>
          <w:rFonts w:ascii="Times New Roman" w:eastAsia="Times New Roman" w:hAnsi="Times New Roman" w:cs="Times New Roman"/>
          <w:sz w:val="24"/>
          <w:szCs w:val="24"/>
          <w:lang w:eastAsia="bg-BG"/>
        </w:rPr>
        <w:t>а</w:t>
      </w:r>
      <w:r w:rsidRPr="00650130">
        <w:rPr>
          <w:rFonts w:ascii="Times New Roman" w:eastAsia="Times New Roman" w:hAnsi="Times New Roman" w:cs="Times New Roman"/>
          <w:sz w:val="24"/>
          <w:szCs w:val="24"/>
          <w:lang w:eastAsia="bg-BG"/>
        </w:rPr>
        <w:t xml:space="preserve"> – „Техническа спецификация“ са ориентировъчни. Възложителят си запазва правото, по време на действие на договора, да поръчва количества, различни от посочените в Приложение № 1</w:t>
      </w:r>
      <w:r w:rsidR="00A231CC" w:rsidRPr="00650130">
        <w:rPr>
          <w:rFonts w:ascii="Times New Roman" w:eastAsia="Times New Roman" w:hAnsi="Times New Roman" w:cs="Times New Roman"/>
          <w:sz w:val="24"/>
          <w:szCs w:val="24"/>
          <w:lang w:eastAsia="bg-BG"/>
        </w:rPr>
        <w:t>а</w:t>
      </w:r>
      <w:r w:rsidRPr="00650130">
        <w:rPr>
          <w:rFonts w:ascii="Times New Roman" w:eastAsia="Times New Roman" w:hAnsi="Times New Roman" w:cs="Times New Roman"/>
          <w:sz w:val="24"/>
          <w:szCs w:val="24"/>
          <w:lang w:eastAsia="bg-BG"/>
        </w:rPr>
        <w:t>, като същите ще се заплащат по единичните цени, съгласно ценовото предложение на избрания изпълнител.</w:t>
      </w:r>
    </w:p>
    <w:p w:rsidR="00C52AE4" w:rsidRPr="00650130" w:rsidRDefault="00C52AE4" w:rsidP="004C5B91">
      <w:pPr>
        <w:tabs>
          <w:tab w:val="left" w:pos="426"/>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Участникът следва да представи Техническо предложение (по образец), което изцяло да отговаря на „Техническата спецификация</w:t>
      </w:r>
      <w:r w:rsidR="00FE459B" w:rsidRPr="00650130">
        <w:rPr>
          <w:rFonts w:ascii="Times New Roman" w:eastAsia="Times New Roman" w:hAnsi="Times New Roman" w:cs="Times New Roman"/>
          <w:sz w:val="24"/>
          <w:szCs w:val="24"/>
          <w:lang w:eastAsia="bg-BG"/>
        </w:rPr>
        <w:t>“ (Приложение № 1</w:t>
      </w:r>
      <w:r w:rsidR="0065479C" w:rsidRPr="00650130">
        <w:rPr>
          <w:rFonts w:ascii="Times New Roman" w:eastAsia="Times New Roman" w:hAnsi="Times New Roman" w:cs="Times New Roman"/>
          <w:sz w:val="24"/>
          <w:szCs w:val="24"/>
          <w:lang w:eastAsia="bg-BG"/>
        </w:rPr>
        <w:t>а</w:t>
      </w:r>
      <w:r w:rsidR="00FE459B" w:rsidRPr="00650130">
        <w:rPr>
          <w:rFonts w:ascii="Times New Roman" w:eastAsia="Times New Roman" w:hAnsi="Times New Roman" w:cs="Times New Roman"/>
          <w:sz w:val="24"/>
          <w:szCs w:val="24"/>
          <w:lang w:eastAsia="bg-BG"/>
        </w:rPr>
        <w:t>)</w:t>
      </w:r>
      <w:r w:rsidRPr="00650130">
        <w:rPr>
          <w:rFonts w:ascii="Times New Roman" w:eastAsia="Times New Roman" w:hAnsi="Times New Roman" w:cs="Times New Roman"/>
          <w:sz w:val="24"/>
          <w:szCs w:val="24"/>
          <w:lang w:eastAsia="bg-BG"/>
        </w:rPr>
        <w:t xml:space="preserve"> за изпълнение на предмета на поръчката, приложена от възложителя в документацията за участие по обособена позиция № 1 от процедурата.</w:t>
      </w:r>
    </w:p>
    <w:p w:rsidR="00FE459B" w:rsidRPr="00650130" w:rsidRDefault="00FE459B" w:rsidP="004C5B91">
      <w:pPr>
        <w:tabs>
          <w:tab w:val="left" w:pos="426"/>
          <w:tab w:val="left" w:pos="720"/>
        </w:tabs>
        <w:spacing w:after="0" w:line="360" w:lineRule="auto"/>
        <w:ind w:firstLine="709"/>
        <w:jc w:val="both"/>
        <w:rPr>
          <w:rFonts w:ascii="Times New Roman" w:eastAsia="Times New Roman" w:hAnsi="Times New Roman" w:cs="Times New Roman"/>
          <w:i/>
          <w:sz w:val="24"/>
          <w:szCs w:val="24"/>
          <w:lang w:eastAsia="bg-BG"/>
        </w:rPr>
      </w:pPr>
      <w:r w:rsidRPr="00650130">
        <w:rPr>
          <w:rFonts w:ascii="Times New Roman" w:eastAsia="Times New Roman" w:hAnsi="Times New Roman" w:cs="Times New Roman"/>
          <w:i/>
          <w:sz w:val="24"/>
          <w:szCs w:val="24"/>
          <w:lang w:eastAsia="bg-BG"/>
        </w:rPr>
        <w:t>Забележка: *В случай че се предлагат еквивалентни резервни и износващи се части участниците представят документ (оторизационно писмо, сертификат или друго, издаден от производителя или от официален негов представител) за съвместимост на еквивалентни резервни и износващи се части с банкнотообработващите системи CPS 1500 5/4.</w:t>
      </w:r>
    </w:p>
    <w:p w:rsidR="00C52AE4" w:rsidRPr="00650130" w:rsidRDefault="00C52AE4" w:rsidP="004C5B91">
      <w:pPr>
        <w:tabs>
          <w:tab w:val="left" w:pos="426"/>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 xml:space="preserve">По обособена позиция № 2 - </w:t>
      </w:r>
      <w:r w:rsidRPr="00650130">
        <w:rPr>
          <w:rFonts w:ascii="Times New Roman" w:eastAsia="Times New Roman" w:hAnsi="Times New Roman" w:cs="Times New Roman"/>
          <w:sz w:val="24"/>
          <w:szCs w:val="24"/>
          <w:lang w:eastAsia="bg-BG"/>
        </w:rPr>
        <w:t>Г</w:t>
      </w:r>
      <w:r w:rsidRPr="00650130">
        <w:rPr>
          <w:rFonts w:ascii="Times New Roman" w:eastAsia="Calibri" w:hAnsi="Times New Roman" w:cs="Times New Roman"/>
          <w:sz w:val="24"/>
          <w:szCs w:val="24"/>
        </w:rPr>
        <w:t xml:space="preserve">одишната профилактика на 2 броя банкнотообработващи системи марка DeLaRue, модел CPS 1500 5/4 и спомагателно оборудване към тях, следва да включва всички дейности, посочени в </w:t>
      </w:r>
      <w:r w:rsidRPr="00650130">
        <w:rPr>
          <w:rFonts w:ascii="Times New Roman" w:eastAsia="Times New Roman" w:hAnsi="Times New Roman" w:cs="Times New Roman"/>
          <w:sz w:val="24"/>
          <w:szCs w:val="24"/>
          <w:lang w:eastAsia="bg-BG"/>
        </w:rPr>
        <w:t xml:space="preserve">Приложение № </w:t>
      </w:r>
      <w:r w:rsidR="0065479C" w:rsidRPr="00650130">
        <w:rPr>
          <w:rFonts w:ascii="Times New Roman" w:eastAsia="Times New Roman" w:hAnsi="Times New Roman" w:cs="Times New Roman"/>
          <w:sz w:val="24"/>
          <w:szCs w:val="24"/>
          <w:lang w:eastAsia="bg-BG"/>
        </w:rPr>
        <w:t xml:space="preserve">1б </w:t>
      </w:r>
      <w:r w:rsidRPr="00650130">
        <w:rPr>
          <w:rFonts w:ascii="Times New Roman" w:eastAsia="Times New Roman" w:hAnsi="Times New Roman" w:cs="Times New Roman"/>
          <w:sz w:val="24"/>
          <w:szCs w:val="24"/>
          <w:lang w:eastAsia="bg-BG"/>
        </w:rPr>
        <w:t>– „Техническа спецификация“, което е неразделна част от документацията за участие.</w:t>
      </w:r>
    </w:p>
    <w:p w:rsidR="00C52AE4" w:rsidRPr="00650130" w:rsidRDefault="00C52AE4" w:rsidP="004C5B91">
      <w:pPr>
        <w:tabs>
          <w:tab w:val="left" w:pos="426"/>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Участникът следва да представи Техническо предложение (по образец), което изцяло да отговаря на „Техническата спецификация</w:t>
      </w:r>
      <w:r w:rsidR="00FE459B" w:rsidRPr="00650130">
        <w:rPr>
          <w:rFonts w:ascii="Times New Roman" w:eastAsia="Times New Roman" w:hAnsi="Times New Roman" w:cs="Times New Roman"/>
          <w:sz w:val="24"/>
          <w:szCs w:val="24"/>
          <w:lang w:eastAsia="bg-BG"/>
        </w:rPr>
        <w:t>“</w:t>
      </w:r>
      <w:r w:rsidR="00E326A4" w:rsidRPr="00650130">
        <w:rPr>
          <w:rFonts w:ascii="Times New Roman" w:eastAsia="Times New Roman" w:hAnsi="Times New Roman" w:cs="Times New Roman"/>
          <w:sz w:val="24"/>
          <w:szCs w:val="24"/>
          <w:lang w:eastAsia="bg-BG"/>
        </w:rPr>
        <w:t xml:space="preserve"> за ОП № 2 -</w:t>
      </w:r>
      <w:r w:rsidR="00FE459B" w:rsidRPr="00650130">
        <w:rPr>
          <w:rFonts w:ascii="Times New Roman" w:eastAsia="Times New Roman" w:hAnsi="Times New Roman" w:cs="Times New Roman"/>
          <w:sz w:val="24"/>
          <w:szCs w:val="24"/>
          <w:lang w:eastAsia="bg-BG"/>
        </w:rPr>
        <w:t xml:space="preserve"> Приложение № </w:t>
      </w:r>
      <w:r w:rsidR="00E326A4" w:rsidRPr="00650130">
        <w:rPr>
          <w:rFonts w:ascii="Times New Roman" w:eastAsia="Times New Roman" w:hAnsi="Times New Roman" w:cs="Times New Roman"/>
          <w:sz w:val="24"/>
          <w:szCs w:val="24"/>
          <w:lang w:eastAsia="bg-BG"/>
        </w:rPr>
        <w:t>1</w:t>
      </w:r>
      <w:r w:rsidR="0065479C" w:rsidRPr="00650130">
        <w:rPr>
          <w:rFonts w:ascii="Times New Roman" w:eastAsia="Times New Roman" w:hAnsi="Times New Roman" w:cs="Times New Roman"/>
          <w:sz w:val="24"/>
          <w:szCs w:val="24"/>
          <w:lang w:eastAsia="bg-BG"/>
        </w:rPr>
        <w:t>б</w:t>
      </w:r>
      <w:r w:rsidRPr="00650130">
        <w:rPr>
          <w:rFonts w:ascii="Times New Roman" w:eastAsia="Times New Roman" w:hAnsi="Times New Roman" w:cs="Times New Roman"/>
          <w:sz w:val="24"/>
          <w:szCs w:val="24"/>
          <w:lang w:eastAsia="bg-BG"/>
        </w:rPr>
        <w:t xml:space="preserve"> за изпълнение на предмета на поръчката, приложена от възложителя в документацията за участие по обособена позиция № 2 от процедурата.</w:t>
      </w:r>
    </w:p>
    <w:p w:rsidR="00FE459B" w:rsidRPr="00650130" w:rsidRDefault="00FE459B" w:rsidP="004C5B91">
      <w:pPr>
        <w:spacing w:after="0" w:line="360" w:lineRule="auto"/>
        <w:ind w:firstLine="709"/>
        <w:jc w:val="both"/>
        <w:rPr>
          <w:rFonts w:ascii="Times New Roman" w:eastAsia="Times New Roman" w:hAnsi="Times New Roman" w:cs="Times New Roman"/>
          <w:i/>
          <w:sz w:val="24"/>
          <w:szCs w:val="24"/>
          <w:lang w:eastAsia="bg-BG"/>
        </w:rPr>
      </w:pPr>
      <w:r w:rsidRPr="00650130">
        <w:rPr>
          <w:rFonts w:ascii="Times New Roman" w:eastAsia="Times New Roman" w:hAnsi="Times New Roman" w:cs="Times New Roman"/>
          <w:i/>
          <w:sz w:val="24"/>
          <w:szCs w:val="24"/>
          <w:lang w:eastAsia="bg-BG"/>
        </w:rPr>
        <w:lastRenderedPageBreak/>
        <w:t xml:space="preserve">Забележка: Участниците следва да са оторизирани от страна на производителя на оборудването да извършват </w:t>
      </w:r>
      <w:r w:rsidR="0065479C" w:rsidRPr="00650130">
        <w:rPr>
          <w:rFonts w:ascii="Times New Roman" w:eastAsia="Times New Roman" w:hAnsi="Times New Roman" w:cs="Times New Roman"/>
          <w:i/>
          <w:sz w:val="24"/>
          <w:szCs w:val="24"/>
          <w:lang w:eastAsia="bg-BG"/>
        </w:rPr>
        <w:t xml:space="preserve">профилактика, </w:t>
      </w:r>
      <w:r w:rsidRPr="00650130">
        <w:rPr>
          <w:rFonts w:ascii="Times New Roman" w:eastAsia="Times New Roman" w:hAnsi="Times New Roman" w:cs="Times New Roman"/>
          <w:i/>
          <w:sz w:val="24"/>
          <w:szCs w:val="24"/>
          <w:lang w:eastAsia="bg-BG"/>
        </w:rPr>
        <w:t>ремонтни и други дейности за този вид банкнотообработващи системи и спомагателното оборудване към тях.</w:t>
      </w:r>
    </w:p>
    <w:p w:rsidR="0013749F" w:rsidRPr="00650130" w:rsidRDefault="0013749F" w:rsidP="004C5B91">
      <w:pPr>
        <w:spacing w:after="0" w:line="360" w:lineRule="auto"/>
        <w:ind w:firstLine="709"/>
        <w:jc w:val="both"/>
        <w:rPr>
          <w:rFonts w:ascii="Times New Roman" w:eastAsia="Times New Roman" w:hAnsi="Times New Roman" w:cs="Times New Roman"/>
          <w:b/>
          <w:sz w:val="24"/>
          <w:szCs w:val="24"/>
          <w:lang w:eastAsia="bg-BG"/>
        </w:rPr>
      </w:pPr>
    </w:p>
    <w:p w:rsidR="00C52AE4" w:rsidRPr="00650130" w:rsidRDefault="00C52AE4" w:rsidP="004C5B91">
      <w:pPr>
        <w:spacing w:after="0" w:line="360" w:lineRule="auto"/>
        <w:ind w:firstLine="709"/>
        <w:jc w:val="both"/>
        <w:rPr>
          <w:rFonts w:ascii="Times New Roman" w:eastAsia="Times New Roman" w:hAnsi="Times New Roman" w:cs="Times New Roman"/>
          <w:b/>
          <w:sz w:val="24"/>
          <w:szCs w:val="24"/>
          <w:lang w:eastAsia="bg-BG"/>
        </w:rPr>
      </w:pPr>
      <w:r w:rsidRPr="00650130">
        <w:rPr>
          <w:rFonts w:ascii="Times New Roman" w:eastAsia="Times New Roman" w:hAnsi="Times New Roman" w:cs="Times New Roman"/>
          <w:b/>
          <w:sz w:val="24"/>
          <w:szCs w:val="24"/>
          <w:lang w:eastAsia="bg-BG"/>
        </w:rPr>
        <w:t>ІI. ДОСТЪП ДО ДОКУМЕНТАЦИЯ ЗА УЧАСТИЕ. ПОДАВАНЕ НА ОФЕРТИ. РАЗЯСНЕНИЯ ПО УСЛОВИЯТА НА ПРОЦЕДУРАТА. ОБМЕН НА ИНФОРМАЦИЯ.</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z w:val="24"/>
          <w:szCs w:val="24"/>
        </w:rPr>
      </w:pPr>
      <w:r w:rsidRPr="00650130">
        <w:rPr>
          <w:rFonts w:ascii="Times New Roman" w:eastAsia="Times New Roman" w:hAnsi="Times New Roman" w:cs="Times New Roman"/>
          <w:b/>
          <w:bCs/>
          <w:sz w:val="24"/>
          <w:szCs w:val="24"/>
        </w:rPr>
        <w:t>1. Достъп до документация:</w:t>
      </w:r>
    </w:p>
    <w:p w:rsidR="00C52AE4" w:rsidRPr="00650130" w:rsidRDefault="00C52AE4" w:rsidP="004C5B91">
      <w:pPr>
        <w:spacing w:after="0" w:line="360" w:lineRule="auto"/>
        <w:ind w:firstLine="708"/>
        <w:jc w:val="both"/>
        <w:rPr>
          <w:rFonts w:ascii="Times New Roman" w:eastAsia="Calibri" w:hAnsi="Times New Roman" w:cs="Times New Roman"/>
          <w:sz w:val="24"/>
          <w:szCs w:val="24"/>
        </w:rPr>
      </w:pPr>
      <w:r w:rsidRPr="00650130">
        <w:rPr>
          <w:rFonts w:ascii="Times New Roman" w:eastAsia="Calibri" w:hAnsi="Times New Roman" w:cs="Times New Roman"/>
          <w:sz w:val="24"/>
          <w:szCs w:val="24"/>
        </w:rPr>
        <w:t xml:space="preserve">Лицата могат да изтеглят безплатно документацията за участие от интернет страницата на възложителя: </w:t>
      </w:r>
      <w:hyperlink r:id="rId7" w:history="1">
        <w:r w:rsidRPr="00650130">
          <w:rPr>
            <w:rFonts w:ascii="Times New Roman" w:eastAsia="Calibri" w:hAnsi="Times New Roman" w:cs="Times New Roman"/>
            <w:color w:val="0000FF"/>
            <w:sz w:val="24"/>
            <w:szCs w:val="24"/>
            <w:u w:val="single"/>
          </w:rPr>
          <w:t>http://www.bnb.bg</w:t>
        </w:r>
      </w:hyperlink>
      <w:r w:rsidRPr="00650130">
        <w:rPr>
          <w:rFonts w:ascii="Times New Roman" w:eastAsia="Calibri" w:hAnsi="Times New Roman" w:cs="Times New Roman"/>
          <w:color w:val="0000FF"/>
          <w:sz w:val="24"/>
          <w:szCs w:val="24"/>
          <w:u w:val="single"/>
        </w:rPr>
        <w:t xml:space="preserve">, </w:t>
      </w:r>
      <w:r w:rsidRPr="00650130">
        <w:rPr>
          <w:rFonts w:ascii="Times New Roman" w:eastAsia="Calibri" w:hAnsi="Times New Roman" w:cs="Times New Roman"/>
          <w:sz w:val="24"/>
          <w:szCs w:val="24"/>
        </w:rPr>
        <w:t xml:space="preserve">раздел „Профил на купувача – обществени </w:t>
      </w:r>
      <w:r w:rsidRPr="002811B1">
        <w:rPr>
          <w:rFonts w:ascii="Times New Roman" w:eastAsia="Calibri" w:hAnsi="Times New Roman" w:cs="Times New Roman"/>
          <w:sz w:val="24"/>
          <w:szCs w:val="24"/>
        </w:rPr>
        <w:t xml:space="preserve">поръчки“, на адрес: </w:t>
      </w:r>
      <w:hyperlink r:id="rId8" w:history="1">
        <w:r w:rsidR="002811B1" w:rsidRPr="002811B1">
          <w:rPr>
            <w:rStyle w:val="Hyperlink"/>
            <w:rFonts w:ascii="Times New Roman" w:hAnsi="Times New Roman" w:cs="Times New Roman"/>
            <w:sz w:val="24"/>
            <w:szCs w:val="24"/>
          </w:rPr>
          <w:t>http://www.bnb.bg/AboutUs/AUPublicProcurements/AUPPList/PP_01224-2018-0020_BG</w:t>
        </w:r>
      </w:hyperlink>
      <w:r w:rsidR="002811B1">
        <w:t xml:space="preserve"> </w:t>
      </w:r>
      <w:bookmarkStart w:id="0" w:name="_GoBack"/>
      <w:bookmarkEnd w:id="0"/>
    </w:p>
    <w:p w:rsidR="00C52AE4" w:rsidRPr="00650130" w:rsidRDefault="00C52AE4" w:rsidP="004C5B91">
      <w:pPr>
        <w:spacing w:after="0" w:line="360" w:lineRule="auto"/>
        <w:ind w:firstLine="709"/>
        <w:jc w:val="both"/>
        <w:rPr>
          <w:rFonts w:ascii="Times New Roman" w:eastAsia="Calibri" w:hAnsi="Times New Roman" w:cs="Times New Roman"/>
          <w:b/>
          <w:sz w:val="24"/>
          <w:szCs w:val="24"/>
        </w:rPr>
      </w:pPr>
      <w:r w:rsidRPr="00650130">
        <w:rPr>
          <w:rFonts w:ascii="Times New Roman" w:eastAsia="Calibri" w:hAnsi="Times New Roman" w:cs="Times New Roman"/>
          <w:b/>
          <w:sz w:val="24"/>
          <w:szCs w:val="24"/>
        </w:rPr>
        <w:t>2. Подаване на оферти:</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Подаването на офертите ще става до 15.45 часа на датата, посочена в IV.2.2. от Обяв</w:t>
      </w:r>
      <w:r w:rsidR="00340A95" w:rsidRPr="00650130">
        <w:rPr>
          <w:rFonts w:ascii="Times New Roman" w:eastAsia="Times New Roman" w:hAnsi="Times New Roman" w:cs="Times New Roman"/>
          <w:sz w:val="24"/>
          <w:szCs w:val="24"/>
        </w:rPr>
        <w:t>лението за поръчка, на гише №</w:t>
      </w:r>
      <w:r w:rsidR="00754F53" w:rsidRPr="00650130">
        <w:rPr>
          <w:rFonts w:ascii="Times New Roman" w:eastAsia="Times New Roman" w:hAnsi="Times New Roman" w:cs="Times New Roman"/>
          <w:sz w:val="24"/>
          <w:szCs w:val="24"/>
        </w:rPr>
        <w:t xml:space="preserve"> 43</w:t>
      </w:r>
      <w:r w:rsidR="00340A95" w:rsidRPr="00650130">
        <w:rPr>
          <w:rFonts w:ascii="Times New Roman" w:eastAsia="Times New Roman" w:hAnsi="Times New Roman" w:cs="Times New Roman"/>
          <w:sz w:val="24"/>
          <w:szCs w:val="24"/>
        </w:rPr>
        <w:t xml:space="preserve"> </w:t>
      </w:r>
      <w:r w:rsidRPr="00650130">
        <w:rPr>
          <w:rFonts w:ascii="Times New Roman" w:eastAsia="Times New Roman" w:hAnsi="Times New Roman" w:cs="Times New Roman"/>
          <w:sz w:val="24"/>
          <w:szCs w:val="24"/>
        </w:rPr>
        <w:t>в Паричния салон на БНБ.</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 xml:space="preserve">Участникът може да подаде офертата си </w:t>
      </w:r>
      <w:r w:rsidRPr="00650130">
        <w:rPr>
          <w:rFonts w:ascii="Times New Roman" w:eastAsia="Times New Roman" w:hAnsi="Times New Roman" w:cs="Times New Roman"/>
          <w:sz w:val="24"/>
          <w:szCs w:val="24"/>
          <w:lang w:eastAsia="bg-BG"/>
        </w:rPr>
        <w:t>и по пощата с препоръчано писмо с обратна разписка</w:t>
      </w:r>
      <w:r w:rsidRPr="00650130">
        <w:rPr>
          <w:rFonts w:ascii="Times New Roman" w:eastAsia="Calibri" w:hAnsi="Times New Roman" w:cs="Times New Roman"/>
          <w:sz w:val="24"/>
          <w:szCs w:val="24"/>
          <w:lang w:eastAsia="bg-BG"/>
        </w:rPr>
        <w:t xml:space="preserve"> или чрез куриерска служба</w:t>
      </w:r>
      <w:r w:rsidRPr="00650130">
        <w:rPr>
          <w:rFonts w:ascii="Times New Roman" w:eastAsia="Times New Roman" w:hAnsi="Times New Roman" w:cs="Times New Roman"/>
          <w:sz w:val="24"/>
          <w:szCs w:val="24"/>
          <w:lang w:eastAsia="bg-BG"/>
        </w:rPr>
        <w:t>, като в този случай разходите за подаване на офертата са за негова сметка. В случай че офертата е подадена по пощата</w:t>
      </w:r>
      <w:r w:rsidRPr="00650130">
        <w:rPr>
          <w:rFonts w:ascii="Times New Roman" w:eastAsia="Calibri" w:hAnsi="Times New Roman" w:cs="Times New Roman"/>
          <w:sz w:val="24"/>
          <w:szCs w:val="24"/>
          <w:lang w:eastAsia="bg-BG"/>
        </w:rPr>
        <w:t xml:space="preserve"> или чрез куриерска служба</w:t>
      </w:r>
      <w:r w:rsidRPr="00650130">
        <w:rPr>
          <w:rFonts w:ascii="Times New Roman" w:eastAsia="Times New Roman" w:hAnsi="Times New Roman" w:cs="Times New Roman"/>
          <w:sz w:val="24"/>
          <w:szCs w:val="24"/>
          <w:lang w:eastAsia="bg-BG"/>
        </w:rPr>
        <w:t>, същата следва да бъде получена от възложителя до 15.45</w:t>
      </w:r>
      <w:r w:rsidRPr="00650130">
        <w:rPr>
          <w:rFonts w:ascii="Times New Roman" w:eastAsia="Times New Roman" w:hAnsi="Times New Roman" w:cs="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napToGrid w:val="0"/>
          <w:sz w:val="24"/>
          <w:szCs w:val="24"/>
        </w:rPr>
      </w:pPr>
      <w:r w:rsidRPr="00650130">
        <w:rPr>
          <w:rFonts w:ascii="Times New Roman" w:eastAsia="Times New Roman" w:hAnsi="Times New Roman" w:cs="Times New Roman"/>
          <w:b/>
          <w:bCs/>
          <w:snapToGrid w:val="0"/>
          <w:sz w:val="24"/>
          <w:szCs w:val="24"/>
        </w:rPr>
        <w:t>3. Разяснения по условията на процедурата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Лицата могат да поискат писмено от възложителя разяснения по решението, обявлението и документацията за участие до 5 дни преди изтичане на срока за получаване на офертите. Възложителят не предоставя разяснения, ако искането е постъпило след този срок.</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napToGrid w:val="0"/>
          <w:sz w:val="24"/>
          <w:szCs w:val="24"/>
        </w:rPr>
        <w:t xml:space="preserve">Исканията за разяснения по документацията се адресират до г-жа Снежанка Деянова-Главен секретар, като се изпращат на факс: 02/950 84 52, на e-mail- </w:t>
      </w:r>
      <w:hyperlink r:id="rId9" w:history="1">
        <w:r w:rsidR="00D54035" w:rsidRPr="00650130">
          <w:rPr>
            <w:rStyle w:val="Hyperlink"/>
            <w:rFonts w:ascii="Times New Roman" w:eastAsia="Times New Roman" w:hAnsi="Times New Roman" w:cs="Times New Roman"/>
            <w:snapToGrid w:val="0"/>
            <w:sz w:val="24"/>
            <w:szCs w:val="24"/>
          </w:rPr>
          <w:t>publicprocurement@bnbank.org</w:t>
        </w:r>
      </w:hyperlink>
      <w:r w:rsidR="00D54035" w:rsidRPr="00650130">
        <w:rPr>
          <w:rFonts w:ascii="Times New Roman" w:eastAsia="Times New Roman" w:hAnsi="Times New Roman" w:cs="Times New Roman"/>
          <w:snapToGrid w:val="0"/>
          <w:sz w:val="24"/>
          <w:szCs w:val="24"/>
        </w:rPr>
        <w:t xml:space="preserve"> </w:t>
      </w:r>
      <w:r w:rsidRPr="00650130">
        <w:rPr>
          <w:rFonts w:ascii="Times New Roman" w:eastAsia="Times New Roman" w:hAnsi="Times New Roman" w:cs="Times New Roman"/>
          <w:snapToGrid w:val="0"/>
          <w:sz w:val="24"/>
          <w:szCs w:val="24"/>
        </w:rPr>
        <w:t>или на адрес: гр. София 1000, пл. „Княз Александър I</w:t>
      </w:r>
      <w:r w:rsidR="009F1569" w:rsidRPr="00650130">
        <w:rPr>
          <w:rFonts w:ascii="Times New Roman" w:eastAsia="Times New Roman" w:hAnsi="Times New Roman" w:cs="Times New Roman"/>
          <w:snapToGrid w:val="0"/>
          <w:sz w:val="24"/>
          <w:szCs w:val="24"/>
        </w:rPr>
        <w:t>“</w:t>
      </w:r>
      <w:r w:rsidRPr="00650130">
        <w:rPr>
          <w:rFonts w:ascii="Times New Roman" w:eastAsia="Times New Roman" w:hAnsi="Times New Roman" w:cs="Times New Roman"/>
          <w:snapToGrid w:val="0"/>
          <w:sz w:val="24"/>
          <w:szCs w:val="24"/>
        </w:rPr>
        <w:t xml:space="preserve"> № 1.</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 </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4. Обмен на информация:</w:t>
      </w:r>
    </w:p>
    <w:p w:rsidR="00C52AE4" w:rsidRPr="00650130" w:rsidRDefault="00C52AE4" w:rsidP="004C5B91">
      <w:pPr>
        <w:tabs>
          <w:tab w:val="left" w:pos="851"/>
          <w:tab w:val="left" w:pos="3240"/>
          <w:tab w:val="left" w:pos="9356"/>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w:t>
      </w:r>
      <w:r w:rsidRPr="00650130">
        <w:rPr>
          <w:rFonts w:ascii="Times New Roman" w:eastAsia="Times New Roman" w:hAnsi="Times New Roman" w:cs="Times New Roman"/>
          <w:sz w:val="24"/>
          <w:szCs w:val="24"/>
          <w:lang w:eastAsia="bg-BG"/>
        </w:rPr>
        <w:lastRenderedPageBreak/>
        <w:t xml:space="preserve">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C52AE4" w:rsidRPr="00650130" w:rsidRDefault="00C52AE4" w:rsidP="004C5B91">
      <w:pPr>
        <w:tabs>
          <w:tab w:val="left" w:pos="851"/>
          <w:tab w:val="left" w:pos="3240"/>
          <w:tab w:val="left" w:pos="9356"/>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Когато решението не е получено от кандидата или участника по някой от и</w:t>
      </w:r>
      <w:r w:rsidR="002A4FD4" w:rsidRPr="00650130">
        <w:rPr>
          <w:rFonts w:ascii="Times New Roman" w:eastAsia="Times New Roman" w:hAnsi="Times New Roman" w:cs="Times New Roman"/>
          <w:sz w:val="24"/>
          <w:szCs w:val="24"/>
          <w:lang w:eastAsia="bg-BG"/>
        </w:rPr>
        <w:t xml:space="preserve">зброените начини, възложителят </w:t>
      </w:r>
      <w:r w:rsidRPr="00650130">
        <w:rPr>
          <w:rFonts w:ascii="Times New Roman" w:eastAsia="Times New Roman" w:hAnsi="Times New Roman" w:cs="Times New Roman"/>
          <w:sz w:val="24"/>
          <w:szCs w:val="24"/>
          <w:lang w:eastAsia="bg-BG"/>
        </w:rPr>
        <w:t>публикува съобщение до участника в профила на купувача. Решението се смята за връчено от датата на публикуване на съобщението.</w:t>
      </w:r>
    </w:p>
    <w:p w:rsidR="00C52AE4" w:rsidRPr="00650130" w:rsidRDefault="00C52AE4"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III. ИЗИСКВАНИЯ КЪМ У</w:t>
      </w:r>
      <w:r w:rsidR="00E35BA5" w:rsidRPr="00650130">
        <w:rPr>
          <w:rFonts w:ascii="Times New Roman" w:eastAsia="Times New Roman" w:hAnsi="Times New Roman" w:cs="Times New Roman"/>
          <w:b/>
          <w:bCs/>
          <w:sz w:val="24"/>
          <w:szCs w:val="24"/>
          <w:lang w:eastAsia="bg-BG"/>
        </w:rPr>
        <w:t>ЧАСТНИЦИТЕ</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napToGrid w:val="0"/>
          <w:sz w:val="24"/>
          <w:szCs w:val="24"/>
        </w:rPr>
      </w:pPr>
      <w:r w:rsidRPr="00650130">
        <w:rPr>
          <w:rFonts w:ascii="Times New Roman" w:eastAsia="Times New Roman" w:hAnsi="Times New Roman" w:cs="Times New Roman"/>
          <w:b/>
          <w:bCs/>
          <w:snapToGrid w:val="0"/>
          <w:sz w:val="24"/>
          <w:szCs w:val="24"/>
        </w:rPr>
        <w:t>А. Условия за участие. Основания за отстраняване.</w:t>
      </w:r>
    </w:p>
    <w:p w:rsidR="00C52AE4" w:rsidRPr="00650130" w:rsidRDefault="00C52AE4" w:rsidP="004C5B91">
      <w:pPr>
        <w:keepNext/>
        <w:keepLines/>
        <w:spacing w:after="0" w:line="360" w:lineRule="auto"/>
        <w:ind w:firstLine="709"/>
        <w:outlineLvl w:val="2"/>
        <w:rPr>
          <w:rFonts w:ascii="Times New Roman" w:eastAsia="Times New Roman" w:hAnsi="Times New Roman" w:cs="Times New Roman"/>
          <w:b/>
          <w:bCs/>
          <w:snapToGrid w:val="0"/>
          <w:sz w:val="24"/>
          <w:szCs w:val="24"/>
        </w:rPr>
      </w:pPr>
      <w:r w:rsidRPr="00650130">
        <w:rPr>
          <w:rFonts w:ascii="Times New Roman" w:eastAsia="Times New Roman" w:hAnsi="Times New Roman" w:cs="Times New Roman"/>
          <w:b/>
          <w:bCs/>
          <w:snapToGrid w:val="0"/>
          <w:sz w:val="24"/>
          <w:szCs w:val="24"/>
        </w:rPr>
        <w:t>1. Условия за участие:</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 Участникът може да подава оферта относно всяка обособена позиция, в която желае да участва при спазване на изискванията на чл. 47, ал. 9 ППЗОП.</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1.3. Клон на чуждестранно лице може да е самостоятелен участник в процедурата, съгласно условията, посочени в чл. 36 от ППЗОП.</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Calibri" w:hAnsi="Times New Roman" w:cs="Times New Roman"/>
          <w:sz w:val="24"/>
          <w:szCs w:val="24"/>
        </w:rPr>
      </w:pPr>
      <w:r w:rsidRPr="00650130">
        <w:rPr>
          <w:rFonts w:ascii="Times New Roman" w:eastAsia="Times New Roman" w:hAnsi="Times New Roman" w:cs="Times New Roman"/>
          <w:snapToGrid w:val="0"/>
          <w:sz w:val="24"/>
          <w:szCs w:val="24"/>
        </w:rPr>
        <w:t>1.5. Участник може да се позове на капацитета на трети лица по отношение на критериите, свързани с техническите способности и професионалната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650130">
        <w:rPr>
          <w:rFonts w:ascii="Times New Roman" w:eastAsia="Calibri" w:hAnsi="Times New Roman" w:cs="Times New Roman"/>
          <w:sz w:val="24"/>
          <w:szCs w:val="24"/>
        </w:rPr>
        <w:t xml:space="preserve"> 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rsidR="00D54035" w:rsidRPr="00650130" w:rsidRDefault="00C52AE4" w:rsidP="004C5B91">
      <w:pPr>
        <w:tabs>
          <w:tab w:val="left" w:pos="851"/>
        </w:tabs>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sz w:val="24"/>
          <w:szCs w:val="24"/>
        </w:rPr>
        <w:t xml:space="preserve">1.6. </w:t>
      </w:r>
      <w:r w:rsidR="00D54035" w:rsidRPr="00650130">
        <w:rPr>
          <w:rFonts w:ascii="Times New Roman" w:eastAsia="Calibri" w:hAnsi="Times New Roman" w:cs="Times New Roman"/>
          <w:sz w:val="24"/>
          <w:szCs w:val="24"/>
        </w:rPr>
        <w:t xml:space="preserve">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w:t>
      </w:r>
      <w:r w:rsidR="00D54035" w:rsidRPr="00650130">
        <w:rPr>
          <w:rFonts w:ascii="Times New Roman" w:eastAsia="Calibri" w:hAnsi="Times New Roman" w:cs="Times New Roman"/>
          <w:sz w:val="24"/>
          <w:szCs w:val="24"/>
        </w:rPr>
        <w:lastRenderedPageBreak/>
        <w:t>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C52AE4" w:rsidRPr="00650130" w:rsidRDefault="00D54035" w:rsidP="004C5B91">
      <w:pPr>
        <w:tabs>
          <w:tab w:val="left" w:pos="851"/>
        </w:tabs>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sz w:val="24"/>
          <w:szCs w:val="24"/>
        </w:rPr>
        <w:t xml:space="preserve">1.7. </w:t>
      </w:r>
      <w:r w:rsidR="00C52AE4" w:rsidRPr="00650130">
        <w:rPr>
          <w:rFonts w:ascii="Times New Roman" w:eastAsia="Calibri" w:hAnsi="Times New Roman" w:cs="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Calibri" w:hAnsi="Times New Roman" w:cs="Times New Roman"/>
          <w:sz w:val="24"/>
          <w:szCs w:val="24"/>
        </w:rPr>
        <w:t>1.</w:t>
      </w:r>
      <w:r w:rsidR="00D54035" w:rsidRPr="00650130">
        <w:rPr>
          <w:rFonts w:ascii="Times New Roman" w:eastAsia="Calibri" w:hAnsi="Times New Roman" w:cs="Times New Roman"/>
          <w:sz w:val="24"/>
          <w:szCs w:val="24"/>
        </w:rPr>
        <w:t>8</w:t>
      </w:r>
      <w:r w:rsidRPr="00650130">
        <w:rPr>
          <w:rFonts w:ascii="Times New Roman" w:eastAsia="Calibri" w:hAnsi="Times New Roman" w:cs="Times New Roman"/>
          <w:sz w:val="24"/>
          <w:szCs w:val="24"/>
        </w:rPr>
        <w:t xml:space="preserve">. </w:t>
      </w:r>
      <w:r w:rsidRPr="00650130">
        <w:rPr>
          <w:rFonts w:ascii="Times New Roman" w:eastAsia="Times New Roman" w:hAnsi="Times New Roman" w:cs="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C52AE4" w:rsidRPr="00650130" w:rsidRDefault="00C52AE4" w:rsidP="004C5B91">
      <w:pPr>
        <w:tabs>
          <w:tab w:val="left" w:pos="851"/>
        </w:tabs>
        <w:spacing w:after="0" w:line="360" w:lineRule="auto"/>
        <w:ind w:firstLine="709"/>
        <w:jc w:val="both"/>
        <w:rPr>
          <w:rFonts w:ascii="Times New Roman" w:eastAsia="Calibri" w:hAnsi="Times New Roman" w:cs="Times New Roman"/>
          <w:sz w:val="24"/>
          <w:szCs w:val="24"/>
        </w:rPr>
      </w:pPr>
      <w:r w:rsidRPr="00650130">
        <w:rPr>
          <w:rFonts w:ascii="Times New Roman" w:eastAsia="Times New Roman" w:hAnsi="Times New Roman" w:cs="Times New Roman"/>
          <w:snapToGrid w:val="0"/>
          <w:sz w:val="24"/>
          <w:szCs w:val="24"/>
        </w:rPr>
        <w:t>1.</w:t>
      </w:r>
      <w:r w:rsidR="00D54035" w:rsidRPr="00650130">
        <w:rPr>
          <w:rFonts w:ascii="Times New Roman" w:eastAsia="Times New Roman" w:hAnsi="Times New Roman" w:cs="Times New Roman"/>
          <w:snapToGrid w:val="0"/>
          <w:sz w:val="24"/>
          <w:szCs w:val="24"/>
        </w:rPr>
        <w:t>9</w:t>
      </w:r>
      <w:r w:rsidRPr="00650130">
        <w:rPr>
          <w:rFonts w:ascii="Times New Roman" w:eastAsia="Times New Roman" w:hAnsi="Times New Roman" w:cs="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1.</w:t>
      </w:r>
      <w:r w:rsidR="00D54035" w:rsidRPr="00650130">
        <w:rPr>
          <w:rFonts w:ascii="Times New Roman" w:eastAsia="Times New Roman" w:hAnsi="Times New Roman" w:cs="Times New Roman"/>
          <w:snapToGrid w:val="0"/>
          <w:sz w:val="24"/>
          <w:szCs w:val="24"/>
        </w:rPr>
        <w:t>10</w:t>
      </w:r>
      <w:r w:rsidRPr="00650130">
        <w:rPr>
          <w:rFonts w:ascii="Times New Roman" w:eastAsia="Times New Roman" w:hAnsi="Times New Roman" w:cs="Times New Roman"/>
          <w:snapToGrid w:val="0"/>
          <w:sz w:val="24"/>
          <w:szCs w:val="24"/>
        </w:rPr>
        <w:t>. На основание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111B11" w:rsidRPr="00650130">
        <w:rPr>
          <w:rFonts w:ascii="Times New Roman" w:eastAsia="Times New Roman" w:hAnsi="Times New Roman" w:cs="Times New Roman"/>
          <w:snapToGrid w:val="0"/>
          <w:sz w:val="24"/>
          <w:szCs w:val="24"/>
        </w:rPr>
        <w:t>“</w:t>
      </w:r>
      <w:r w:rsidRPr="00650130">
        <w:rPr>
          <w:rFonts w:ascii="Times New Roman" w:eastAsia="Times New Roman" w:hAnsi="Times New Roman" w:cs="Times New Roman"/>
          <w:snapToGrid w:val="0"/>
          <w:sz w:val="24"/>
          <w:szCs w:val="24"/>
        </w:rPr>
        <w:t>, дружества, регистрирани в юрисдикции с преференциален данъчен режим, и свързаните с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1.</w:t>
      </w:r>
      <w:r w:rsidR="00D54035" w:rsidRPr="00650130">
        <w:rPr>
          <w:rFonts w:ascii="Times New Roman" w:eastAsia="Times New Roman" w:hAnsi="Times New Roman" w:cs="Times New Roman"/>
          <w:snapToGrid w:val="0"/>
          <w:sz w:val="24"/>
          <w:szCs w:val="24"/>
        </w:rPr>
        <w:t>11</w:t>
      </w:r>
      <w:r w:rsidRPr="00650130">
        <w:rPr>
          <w:rFonts w:ascii="Times New Roman" w:eastAsia="Times New Roman" w:hAnsi="Times New Roman" w:cs="Times New Roman"/>
          <w:snapToGrid w:val="0"/>
          <w:sz w:val="24"/>
          <w:szCs w:val="24"/>
        </w:rPr>
        <w:t>. Свързани лица* не могат да бъдат самостоятелни участници в процедурата .</w:t>
      </w:r>
    </w:p>
    <w:p w:rsidR="00C52AE4" w:rsidRPr="00650130" w:rsidRDefault="00D23F41" w:rsidP="004C5B91">
      <w:pPr>
        <w:keepNext/>
        <w:spacing w:after="0" w:line="360" w:lineRule="auto"/>
        <w:ind w:right="34"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w:t>
      </w:r>
      <w:r w:rsidR="00C52AE4" w:rsidRPr="00650130">
        <w:rPr>
          <w:rFonts w:ascii="Times New Roman" w:eastAsia="Times New Roman" w:hAnsi="Times New Roman" w:cs="Times New Roman"/>
          <w:snapToGrid w:val="0"/>
          <w:sz w:val="24"/>
          <w:szCs w:val="24"/>
        </w:rPr>
        <w:t>„</w:t>
      </w:r>
      <w:hyperlink r:id="rId10" w:history="1">
        <w:r w:rsidR="00C52AE4" w:rsidRPr="00650130">
          <w:rPr>
            <w:rFonts w:ascii="Times New Roman" w:eastAsia="Times New Roman" w:hAnsi="Times New Roman" w:cs="Times New Roman"/>
            <w:snapToGrid w:val="0"/>
            <w:sz w:val="24"/>
            <w:szCs w:val="24"/>
          </w:rPr>
          <w:t>Свързани лица</w:t>
        </w:r>
      </w:hyperlink>
      <w:r w:rsidR="00C52AE4" w:rsidRPr="00650130">
        <w:rPr>
          <w:rFonts w:ascii="Times New Roman" w:eastAsia="Times New Roman" w:hAnsi="Times New Roman" w:cs="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rsidR="00D54035" w:rsidRPr="00650130" w:rsidRDefault="00691590" w:rsidP="004C5B91">
      <w:pPr>
        <w:tabs>
          <w:tab w:val="left" w:pos="420"/>
        </w:tabs>
        <w:spacing w:after="0" w:line="360" w:lineRule="auto"/>
        <w:jc w:val="both"/>
        <w:rPr>
          <w:rFonts w:ascii="Times New Roman" w:hAnsi="Times New Roman" w:cs="Times New Roman"/>
          <w:sz w:val="24"/>
          <w:szCs w:val="24"/>
        </w:rPr>
      </w:pPr>
      <w:r w:rsidRPr="00650130">
        <w:rPr>
          <w:rFonts w:ascii="Times New Roman" w:hAnsi="Times New Roman" w:cs="Times New Roman"/>
          <w:sz w:val="24"/>
          <w:szCs w:val="24"/>
        </w:rPr>
        <w:tab/>
      </w:r>
      <w:r w:rsidRPr="00650130">
        <w:rPr>
          <w:rFonts w:ascii="Times New Roman" w:hAnsi="Times New Roman" w:cs="Times New Roman"/>
          <w:sz w:val="24"/>
          <w:szCs w:val="24"/>
        </w:rPr>
        <w:tab/>
        <w:t>1.</w:t>
      </w:r>
      <w:r w:rsidR="00D54035" w:rsidRPr="00650130">
        <w:rPr>
          <w:rFonts w:ascii="Times New Roman" w:hAnsi="Times New Roman" w:cs="Times New Roman"/>
          <w:sz w:val="24"/>
          <w:szCs w:val="24"/>
        </w:rPr>
        <w:t>12</w:t>
      </w:r>
      <w:r w:rsidRPr="00650130">
        <w:rPr>
          <w:rFonts w:ascii="Times New Roman" w:hAnsi="Times New Roman" w:cs="Times New Roman"/>
          <w:sz w:val="24"/>
          <w:szCs w:val="24"/>
        </w:rPr>
        <w:t xml:space="preserve">. </w:t>
      </w:r>
      <w:r w:rsidR="00D54035" w:rsidRPr="00650130">
        <w:rPr>
          <w:rFonts w:ascii="Times New Roman" w:hAnsi="Times New Roman" w:cs="Times New Roman"/>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rsidR="00D54035" w:rsidRPr="00650130" w:rsidRDefault="00D54035" w:rsidP="004C5B91">
      <w:pPr>
        <w:tabs>
          <w:tab w:val="left" w:pos="420"/>
        </w:tabs>
        <w:spacing w:after="0" w:line="360" w:lineRule="auto"/>
        <w:jc w:val="both"/>
        <w:rPr>
          <w:rFonts w:ascii="Times New Roman" w:hAnsi="Times New Roman" w:cs="Times New Roman"/>
          <w:b/>
          <w:i/>
          <w:sz w:val="24"/>
          <w:szCs w:val="24"/>
        </w:rPr>
      </w:pPr>
      <w:r w:rsidRPr="00650130">
        <w:rPr>
          <w:rFonts w:ascii="Times New Roman" w:hAnsi="Times New Roman" w:cs="Times New Roman"/>
          <w:b/>
          <w:i/>
          <w:sz w:val="24"/>
          <w:szCs w:val="24"/>
          <w:u w:val="single"/>
        </w:rPr>
        <w:tab/>
        <w:t>Забележка:</w:t>
      </w:r>
      <w:r w:rsidRPr="00650130">
        <w:rPr>
          <w:rFonts w:ascii="Times New Roman" w:hAnsi="Times New Roman" w:cs="Times New Roman"/>
          <w:sz w:val="24"/>
          <w:szCs w:val="24"/>
        </w:rPr>
        <w:t xml:space="preserve"> </w:t>
      </w:r>
      <w:r w:rsidRPr="00650130">
        <w:rPr>
          <w:rFonts w:ascii="Times New Roman" w:hAnsi="Times New Roman" w:cs="Times New Roman"/>
          <w:i/>
          <w:sz w:val="24"/>
          <w:szCs w:val="24"/>
        </w:rPr>
        <w:t>При подаване на оферта за участие</w:t>
      </w:r>
      <w:r w:rsidRPr="00650130">
        <w:rPr>
          <w:rFonts w:ascii="Times New Roman" w:hAnsi="Times New Roman" w:cs="Times New Roman"/>
          <w:b/>
          <w:i/>
          <w:sz w:val="24"/>
          <w:szCs w:val="24"/>
        </w:rPr>
        <w:t>, обстоятелствата по т. 1.10, т.</w:t>
      </w:r>
      <w:r w:rsidR="002A4FD4" w:rsidRPr="00650130">
        <w:rPr>
          <w:rFonts w:ascii="Times New Roman" w:hAnsi="Times New Roman" w:cs="Times New Roman"/>
          <w:b/>
          <w:i/>
          <w:sz w:val="24"/>
          <w:szCs w:val="24"/>
        </w:rPr>
        <w:t> </w:t>
      </w:r>
      <w:r w:rsidRPr="00650130">
        <w:rPr>
          <w:rFonts w:ascii="Times New Roman" w:hAnsi="Times New Roman" w:cs="Times New Roman"/>
          <w:b/>
          <w:i/>
          <w:sz w:val="24"/>
          <w:szCs w:val="24"/>
        </w:rPr>
        <w:t xml:space="preserve">1.11. и т. 1.12. </w:t>
      </w:r>
      <w:r w:rsidRPr="00650130">
        <w:rPr>
          <w:rFonts w:ascii="Times New Roman" w:hAnsi="Times New Roman" w:cs="Times New Roman"/>
          <w:i/>
          <w:sz w:val="24"/>
          <w:szCs w:val="24"/>
        </w:rPr>
        <w:t xml:space="preserve">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еЕЕДОП, </w:t>
      </w:r>
      <w:r w:rsidRPr="00650130">
        <w:rPr>
          <w:rFonts w:ascii="Times New Roman" w:hAnsi="Times New Roman" w:cs="Times New Roman"/>
          <w:b/>
          <w:i/>
          <w:sz w:val="24"/>
          <w:szCs w:val="24"/>
        </w:rPr>
        <w:t>чрез отбелязване на „НЕ“/„ДА“ в полето за отговор.</w:t>
      </w:r>
    </w:p>
    <w:p w:rsidR="00D54035" w:rsidRPr="00650130" w:rsidRDefault="00D54035" w:rsidP="004C5B91">
      <w:pPr>
        <w:tabs>
          <w:tab w:val="left" w:pos="420"/>
        </w:tabs>
        <w:spacing w:after="0" w:line="360" w:lineRule="auto"/>
        <w:jc w:val="both"/>
        <w:rPr>
          <w:rFonts w:ascii="Times New Roman" w:hAnsi="Times New Roman" w:cs="Times New Roman"/>
          <w:sz w:val="24"/>
          <w:szCs w:val="24"/>
        </w:rPr>
      </w:pPr>
      <w:r w:rsidRPr="00650130">
        <w:rPr>
          <w:rFonts w:ascii="Times New Roman" w:hAnsi="Times New Roman" w:cs="Times New Roman"/>
          <w:b/>
          <w:i/>
          <w:sz w:val="24"/>
          <w:szCs w:val="24"/>
        </w:rPr>
        <w:tab/>
        <w:t>При отговор „ДА“, участникът посочва, за кое обстоятелство се отнася.</w:t>
      </w:r>
    </w:p>
    <w:p w:rsidR="00691590" w:rsidRPr="00650130" w:rsidRDefault="00D54035" w:rsidP="00A231CC">
      <w:pPr>
        <w:spacing w:after="0" w:line="360" w:lineRule="auto"/>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ab/>
        <w:t xml:space="preserve">1.13. </w:t>
      </w:r>
      <w:r w:rsidR="00691590" w:rsidRPr="00650130">
        <w:rPr>
          <w:rFonts w:ascii="Times New Roman" w:eastAsia="Times New Roman" w:hAnsi="Times New Roman" w:cs="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rsidR="00691590" w:rsidRPr="00650130" w:rsidRDefault="00691590" w:rsidP="004C5B91">
      <w:pPr>
        <w:spacing w:after="0" w:line="360" w:lineRule="auto"/>
        <w:ind w:right="70"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lastRenderedPageBreak/>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rsidR="00691590" w:rsidRPr="00650130" w:rsidRDefault="00691590" w:rsidP="004C5B91">
      <w:pPr>
        <w:numPr>
          <w:ilvl w:val="0"/>
          <w:numId w:val="7"/>
        </w:numPr>
        <w:tabs>
          <w:tab w:val="left" w:pos="993"/>
        </w:tabs>
        <w:spacing w:after="0" w:line="360" w:lineRule="auto"/>
        <w:ind w:left="0" w:right="70"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При участници/членове на обединение – физически лица: документите и информацията по чл. 53 от ЗМИП;</w:t>
      </w:r>
    </w:p>
    <w:p w:rsidR="00D54035" w:rsidRPr="00650130" w:rsidRDefault="00691590" w:rsidP="004C5B91">
      <w:pPr>
        <w:numPr>
          <w:ilvl w:val="0"/>
          <w:numId w:val="7"/>
        </w:numPr>
        <w:tabs>
          <w:tab w:val="left" w:pos="993"/>
        </w:tabs>
        <w:spacing w:after="0" w:line="360" w:lineRule="auto"/>
        <w:ind w:left="0" w:right="70"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При участници/членове н</w:t>
      </w:r>
      <w:r w:rsidR="002A4FD4" w:rsidRPr="00650130">
        <w:rPr>
          <w:rFonts w:ascii="Times New Roman" w:eastAsia="Times New Roman" w:hAnsi="Times New Roman" w:cs="Times New Roman"/>
          <w:snapToGrid w:val="0"/>
          <w:sz w:val="24"/>
          <w:szCs w:val="24"/>
        </w:rPr>
        <w:t>а обединение – юридически лица:</w:t>
      </w:r>
      <w:r w:rsidRPr="00650130">
        <w:rPr>
          <w:rFonts w:ascii="Times New Roman" w:eastAsia="Times New Roman" w:hAnsi="Times New Roman" w:cs="Times New Roman"/>
          <w:snapToGrid w:val="0"/>
          <w:sz w:val="24"/>
          <w:szCs w:val="24"/>
        </w:rPr>
        <w:t xml:space="preserve">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rsidR="00D54035" w:rsidRPr="00650130" w:rsidRDefault="00691590" w:rsidP="004C5B91">
      <w:pPr>
        <w:spacing w:after="0" w:line="360" w:lineRule="auto"/>
        <w:ind w:right="70"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rsidR="00691590" w:rsidRPr="00650130" w:rsidRDefault="00691590" w:rsidP="004C5B91">
      <w:pPr>
        <w:spacing w:after="0" w:line="360" w:lineRule="auto"/>
        <w:ind w:right="70" w:firstLine="709"/>
        <w:jc w:val="both"/>
        <w:rPr>
          <w:rFonts w:ascii="Times New Roman" w:eastAsia="Times New Roman" w:hAnsi="Times New Roman" w:cs="Times New Roman"/>
          <w:snapToGrid w:val="0"/>
          <w:sz w:val="24"/>
          <w:szCs w:val="24"/>
        </w:rPr>
      </w:pPr>
    </w:p>
    <w:p w:rsidR="00C52AE4" w:rsidRPr="00650130" w:rsidRDefault="000F384D" w:rsidP="004C5B91">
      <w:pPr>
        <w:tabs>
          <w:tab w:val="left" w:pos="851"/>
          <w:tab w:val="left" w:pos="8670"/>
        </w:tabs>
        <w:spacing w:after="0" w:line="360" w:lineRule="auto"/>
        <w:ind w:firstLine="709"/>
        <w:jc w:val="both"/>
        <w:rPr>
          <w:rFonts w:ascii="Times New Roman" w:eastAsia="Times New Roman" w:hAnsi="Times New Roman" w:cs="Times New Roman"/>
          <w:b/>
          <w:snapToGrid w:val="0"/>
          <w:sz w:val="24"/>
          <w:szCs w:val="24"/>
        </w:rPr>
      </w:pPr>
      <w:r w:rsidRPr="00650130">
        <w:rPr>
          <w:rFonts w:ascii="Times New Roman" w:eastAsia="Times New Roman" w:hAnsi="Times New Roman" w:cs="Times New Roman"/>
          <w:b/>
          <w:snapToGrid w:val="0"/>
          <w:sz w:val="24"/>
          <w:szCs w:val="24"/>
        </w:rPr>
        <w:t>2. Основания за отстраняване:</w:t>
      </w:r>
    </w:p>
    <w:p w:rsidR="00C52AE4" w:rsidRPr="00650130" w:rsidRDefault="00C52AE4" w:rsidP="004C5B91">
      <w:pPr>
        <w:tabs>
          <w:tab w:val="left" w:pos="851"/>
          <w:tab w:val="left" w:pos="1134"/>
        </w:tabs>
        <w:spacing w:after="0" w:line="360" w:lineRule="auto"/>
        <w:ind w:firstLine="709"/>
        <w:jc w:val="both"/>
        <w:rPr>
          <w:rFonts w:ascii="Times New Roman" w:eastAsia="Times New Roman" w:hAnsi="Times New Roman" w:cs="Times New Roman"/>
          <w:b/>
          <w:snapToGrid w:val="0"/>
          <w:sz w:val="24"/>
          <w:szCs w:val="24"/>
        </w:rPr>
      </w:pPr>
      <w:r w:rsidRPr="00650130">
        <w:rPr>
          <w:rFonts w:ascii="Times New Roman" w:eastAsia="Times New Roman" w:hAnsi="Times New Roman" w:cs="Times New Roman"/>
          <w:b/>
          <w:snapToGrid w:val="0"/>
          <w:sz w:val="24"/>
          <w:szCs w:val="24"/>
        </w:rPr>
        <w:t>2.1. Възложителят отстранява от участие в откритата процедура участник, за когото е налице някое от основанията, предвидени в чл. 54 от ЗОП, а именно:</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2.1.1. който е осъден с влязла в сила присъда, освен ако е реабилитиран, за престъпление по чл. 108а, чл. 159а - 159г, чл. 172, чл. 192а, чл</w:t>
      </w:r>
      <w:r w:rsidR="00180A7A" w:rsidRPr="00650130">
        <w:rPr>
          <w:rFonts w:ascii="Times New Roman" w:eastAsia="Times New Roman" w:hAnsi="Times New Roman" w:cs="Times New Roman"/>
          <w:snapToGrid w:val="0"/>
          <w:sz w:val="24"/>
          <w:szCs w:val="24"/>
        </w:rPr>
        <w:t>. 194 - 217, чл. 219 - 252, чл. </w:t>
      </w:r>
      <w:r w:rsidRPr="00650130">
        <w:rPr>
          <w:rFonts w:ascii="Times New Roman" w:eastAsia="Times New Roman" w:hAnsi="Times New Roman" w:cs="Times New Roman"/>
          <w:snapToGrid w:val="0"/>
          <w:sz w:val="24"/>
          <w:szCs w:val="24"/>
        </w:rPr>
        <w:t>253 - 260, чл. 301 - 307, чл. 321, чл. 321а и чл. 352 - 353е от Наказателния кодекс;</w:t>
      </w:r>
    </w:p>
    <w:p w:rsidR="00D54035" w:rsidRPr="00650130" w:rsidRDefault="00C52AE4" w:rsidP="004C5B91">
      <w:pPr>
        <w:spacing w:after="0" w:line="360" w:lineRule="auto"/>
        <w:ind w:firstLine="708"/>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b/>
          <w:i/>
          <w:snapToGrid w:val="0"/>
          <w:sz w:val="24"/>
          <w:szCs w:val="24"/>
        </w:rPr>
        <w:t>Забележка:</w:t>
      </w:r>
      <w:r w:rsidRPr="00650130">
        <w:rPr>
          <w:rFonts w:ascii="Times New Roman" w:eastAsia="Times New Roman" w:hAnsi="Times New Roman" w:cs="Times New Roman"/>
          <w:i/>
          <w:snapToGrid w:val="0"/>
          <w:sz w:val="24"/>
          <w:szCs w:val="24"/>
        </w:rPr>
        <w:t xml:space="preserve"> При подаване на оферта за участие, липсата/наличието на обстоятелствата по чл. 172 (престъпление против трудовите права на гражданите); чл. 194</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208 и чл. 213а</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219</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 xml:space="preserve">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Други основания за </w:t>
      </w:r>
      <w:r w:rsidRPr="00650130">
        <w:rPr>
          <w:rFonts w:ascii="Times New Roman" w:eastAsia="Times New Roman" w:hAnsi="Times New Roman" w:cs="Times New Roman"/>
          <w:i/>
          <w:snapToGrid w:val="0"/>
          <w:sz w:val="24"/>
          <w:szCs w:val="24"/>
        </w:rPr>
        <w:lastRenderedPageBreak/>
        <w:t>изключване, които може да бъдат предвидени в националното законодателство на възлагащия орган или възложителя на държава членка” от ЕЕДОП.</w:t>
      </w:r>
    </w:p>
    <w:p w:rsidR="00C52AE4" w:rsidRPr="00650130" w:rsidRDefault="00D54035" w:rsidP="004C5B91">
      <w:pPr>
        <w:spacing w:after="0" w:line="360" w:lineRule="auto"/>
        <w:ind w:firstLine="708"/>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b/>
          <w:i/>
          <w:snapToGrid w:val="0"/>
          <w:sz w:val="24"/>
          <w:szCs w:val="24"/>
        </w:rPr>
        <w:t>Необходимо е участниците да отбележат „НЕ“/„ДА“ в полето за отговор</w:t>
      </w:r>
      <w:r w:rsidR="00C52AE4" w:rsidRPr="00650130">
        <w:rPr>
          <w:rFonts w:ascii="Times New Roman" w:eastAsia="Times New Roman" w:hAnsi="Times New Roman" w:cs="Times New Roman"/>
          <w:i/>
          <w:snapToGrid w:val="0"/>
          <w:sz w:val="24"/>
          <w:szCs w:val="24"/>
        </w:rPr>
        <w:t>.</w:t>
      </w:r>
      <w:r w:rsidRPr="00650130">
        <w:rPr>
          <w:rFonts w:ascii="Times New Roman" w:eastAsia="Times New Roman" w:hAnsi="Times New Roman" w:cs="Times New Roman"/>
          <w:i/>
          <w:snapToGrid w:val="0"/>
          <w:sz w:val="24"/>
          <w:szCs w:val="24"/>
        </w:rPr>
        <w:t xml:space="preserve"> </w:t>
      </w:r>
      <w:r w:rsidRPr="00650130">
        <w:rPr>
          <w:rFonts w:ascii="Times New Roman" w:eastAsia="Calibri" w:hAnsi="Times New Roman" w:cs="Times New Roman"/>
          <w:b/>
          <w:i/>
          <w:snapToGrid w:val="0"/>
          <w:sz w:val="24"/>
          <w:szCs w:val="24"/>
        </w:rPr>
        <w:t>При отговор „ДА“, участникът посочва, за кое обстоятелство (престъпление) се отнася, както и номер и дата на влизане в сила на акта, с който е постановена .</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2.1.2. който е осъден с влязла в сила присъда, освен ако е реабилитиран за престъпление, аналогично на тези по т. 2.1.1., в друга д</w:t>
      </w:r>
      <w:r w:rsidR="00984E7F" w:rsidRPr="00650130">
        <w:rPr>
          <w:rFonts w:ascii="Times New Roman" w:eastAsia="Times New Roman" w:hAnsi="Times New Roman" w:cs="Times New Roman"/>
          <w:snapToGrid w:val="0"/>
          <w:sz w:val="24"/>
          <w:szCs w:val="24"/>
        </w:rPr>
        <w:t>ържава членка или трета страна;</w:t>
      </w:r>
    </w:p>
    <w:p w:rsidR="00A231CC" w:rsidRPr="00650130" w:rsidRDefault="00C52AE4" w:rsidP="004C5B91">
      <w:pPr>
        <w:spacing w:after="0" w:line="360" w:lineRule="auto"/>
        <w:ind w:firstLine="708"/>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b/>
          <w:i/>
          <w:snapToGrid w:val="0"/>
          <w:sz w:val="24"/>
          <w:szCs w:val="24"/>
        </w:rPr>
        <w:t>Забележка:</w:t>
      </w:r>
      <w:r w:rsidRPr="00650130">
        <w:rPr>
          <w:rFonts w:ascii="Times New Roman" w:eastAsia="Times New Roman" w:hAnsi="Times New Roman" w:cs="Times New Roman"/>
          <w:snapToGrid w:val="0"/>
          <w:sz w:val="24"/>
          <w:szCs w:val="24"/>
        </w:rPr>
        <w:t xml:space="preserve"> </w:t>
      </w:r>
      <w:r w:rsidRPr="00650130">
        <w:rPr>
          <w:rFonts w:ascii="Times New Roman" w:eastAsia="Times New Roman" w:hAnsi="Times New Roman" w:cs="Times New Roman"/>
          <w:i/>
          <w:snapToGrid w:val="0"/>
          <w:sz w:val="24"/>
          <w:szCs w:val="24"/>
        </w:rPr>
        <w:t>В случай че участникът е чуждестранно лице декларира, че не е осъждан/е осъждан за престъпления, аналогични на престъпленията по чл. 172 (престъпление против трудовите права на гражданите); чл. 194</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208 и чл. 213а</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219</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w:t>
      </w:r>
      <w:r w:rsidR="00111B11"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i/>
          <w:snapToGrid w:val="0"/>
          <w:sz w:val="24"/>
          <w:szCs w:val="24"/>
        </w:rPr>
        <w:t>260 (престъпления против финансовата, данъчната и осигурителната система) и чл. 352 – 353е (престъпления против народното здраве и против околната среда) от НК, в друга държава членка или трета страна. Липсата/н</w:t>
      </w:r>
      <w:r w:rsidR="002A4FD4" w:rsidRPr="00650130">
        <w:rPr>
          <w:rFonts w:ascii="Times New Roman" w:eastAsia="Times New Roman" w:hAnsi="Times New Roman" w:cs="Times New Roman"/>
          <w:i/>
          <w:snapToGrid w:val="0"/>
          <w:sz w:val="24"/>
          <w:szCs w:val="24"/>
        </w:rPr>
        <w:t xml:space="preserve">аличието на тези обстоятелства </w:t>
      </w:r>
      <w:r w:rsidRPr="00650130">
        <w:rPr>
          <w:rFonts w:ascii="Times New Roman" w:eastAsia="Times New Roman" w:hAnsi="Times New Roman" w:cs="Times New Roman"/>
          <w:i/>
          <w:snapToGrid w:val="0"/>
          <w:sz w:val="24"/>
          <w:szCs w:val="24"/>
        </w:rPr>
        <w:t xml:space="preserve">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rsidR="00C52AE4" w:rsidRPr="00650130" w:rsidRDefault="00D54035" w:rsidP="004C5B91">
      <w:pPr>
        <w:spacing w:after="0" w:line="360" w:lineRule="auto"/>
        <w:ind w:firstLine="708"/>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i/>
          <w:snapToGrid w:val="0"/>
          <w:sz w:val="24"/>
          <w:szCs w:val="24"/>
        </w:rPr>
        <w:t>Необходимо е участниците да отбележат „НЕ“/„ДА“ в полето за отговор</w:t>
      </w:r>
      <w:r w:rsidRPr="00650130">
        <w:rPr>
          <w:rFonts w:ascii="Times New Roman" w:eastAsia="Times New Roman" w:hAnsi="Times New Roman" w:cs="Times New Roman"/>
          <w:i/>
          <w:snapToGrid w:val="0"/>
          <w:sz w:val="24"/>
          <w:szCs w:val="24"/>
        </w:rPr>
        <w:t xml:space="preserve">. </w:t>
      </w:r>
      <w:r w:rsidRPr="00650130">
        <w:rPr>
          <w:rFonts w:ascii="Times New Roman" w:eastAsia="Times New Roman" w:hAnsi="Times New Roman" w:cs="Times New Roman"/>
          <w:b/>
          <w:i/>
          <w:snapToGrid w:val="0"/>
          <w:sz w:val="24"/>
          <w:szCs w:val="24"/>
        </w:rPr>
        <w:t>При отговор „ДА“, участникът посочва, за кое обстоятелство (престъпление) се отнася, както и номер и дата на влизане в сила на акта, с който е постановена.</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w:t>
      </w:r>
      <w:r w:rsidRPr="00650130">
        <w:rPr>
          <w:rFonts w:ascii="Times New Roman" w:eastAsia="Times New Roman" w:hAnsi="Times New Roman" w:cs="Times New Roman"/>
          <w:b/>
          <w:snapToGrid w:val="0"/>
          <w:sz w:val="24"/>
          <w:szCs w:val="24"/>
        </w:rPr>
        <w:t>към държавата или към общината по седалището на възложителя и на участника</w:t>
      </w:r>
      <w:r w:rsidRPr="00650130">
        <w:rPr>
          <w:rFonts w:ascii="Times New Roman" w:eastAsia="Times New Roman" w:hAnsi="Times New Roman" w:cs="Times New Roman"/>
          <w:snapToGrid w:val="0"/>
          <w:sz w:val="24"/>
          <w:szCs w:val="24"/>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i/>
          <w:snapToGrid w:val="0"/>
          <w:sz w:val="24"/>
          <w:szCs w:val="24"/>
        </w:rPr>
      </w:pPr>
      <w:r w:rsidRPr="00650130">
        <w:rPr>
          <w:rFonts w:ascii="Times New Roman" w:eastAsia="Calibri" w:hAnsi="Times New Roman" w:cs="Times New Roman"/>
          <w:b/>
          <w:i/>
          <w:snapToGrid w:val="0"/>
          <w:sz w:val="24"/>
          <w:szCs w:val="24"/>
        </w:rPr>
        <w:t>Забележка:</w:t>
      </w:r>
      <w:r w:rsidRPr="00650130">
        <w:rPr>
          <w:rFonts w:ascii="Times New Roman" w:eastAsia="Times New Roman" w:hAnsi="Times New Roman" w:cs="Times New Roman"/>
          <w:snapToGrid w:val="0"/>
          <w:sz w:val="24"/>
          <w:szCs w:val="24"/>
        </w:rPr>
        <w:t xml:space="preserve"> </w:t>
      </w:r>
      <w:r w:rsidRPr="00650130">
        <w:rPr>
          <w:rFonts w:ascii="Times New Roman" w:eastAsia="Times New Roman" w:hAnsi="Times New Roman" w:cs="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w:t>
      </w:r>
      <w:r w:rsidR="00DE1BA1" w:rsidRPr="00650130">
        <w:rPr>
          <w:rFonts w:ascii="Times New Roman" w:eastAsia="Times New Roman" w:hAnsi="Times New Roman" w:cs="Times New Roman"/>
          <w:i/>
          <w:snapToGrid w:val="0"/>
          <w:sz w:val="24"/>
          <w:szCs w:val="24"/>
        </w:rPr>
        <w:t>та приключила финансова година.</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lastRenderedPageBreak/>
        <w:t>2.1.4. за когото е налице неравнопоставеност в сл</w:t>
      </w:r>
      <w:r w:rsidR="00DE1BA1" w:rsidRPr="00650130">
        <w:rPr>
          <w:rFonts w:ascii="Times New Roman" w:eastAsia="Times New Roman" w:hAnsi="Times New Roman" w:cs="Times New Roman"/>
          <w:snapToGrid w:val="0"/>
          <w:sz w:val="24"/>
          <w:szCs w:val="24"/>
        </w:rPr>
        <w:t>учаите по чл. 44, ал. 5 от ЗОП;</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w:t>
      </w:r>
      <w:r w:rsidR="002A4FD4" w:rsidRPr="00650130">
        <w:rPr>
          <w:rFonts w:ascii="Times New Roman" w:eastAsia="Times New Roman" w:hAnsi="Times New Roman" w:cs="Times New Roman"/>
          <w:snapToGrid w:val="0"/>
          <w:sz w:val="24"/>
          <w:szCs w:val="24"/>
        </w:rPr>
        <w:t>ите за подбор; не е предоставил</w:t>
      </w:r>
      <w:r w:rsidRPr="00650130">
        <w:rPr>
          <w:rFonts w:ascii="Times New Roman" w:eastAsia="Times New Roman" w:hAnsi="Times New Roman" w:cs="Times New Roman"/>
          <w:snapToGrid w:val="0"/>
          <w:sz w:val="24"/>
          <w:szCs w:val="24"/>
        </w:rPr>
        <w:t xml:space="preserve"> изискваща се информация, свързана с удостоверяване липсата на основания за отстраняване или изпълнението на критериите за подбор; </w:t>
      </w:r>
    </w:p>
    <w:p w:rsidR="00073F7F" w:rsidRPr="00650130" w:rsidRDefault="00073F7F"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2.1.6. е установено с влязло в сила наказателно постановление или съдебно решение, нарушение на чл. 61, ал. 1, чл. 62, ал. 1 или 3, чл. 63, ал. 1 или 2, чл. 118, чл. 128, чл. 228, ал.</w:t>
      </w:r>
      <w:r w:rsidR="007B7704" w:rsidRPr="00650130">
        <w:rPr>
          <w:rFonts w:ascii="Times New Roman" w:eastAsia="Times New Roman" w:hAnsi="Times New Roman" w:cs="Times New Roman"/>
          <w:snapToGrid w:val="0"/>
          <w:sz w:val="24"/>
          <w:szCs w:val="24"/>
        </w:rPr>
        <w:t> </w:t>
      </w:r>
      <w:r w:rsidRPr="00650130">
        <w:rPr>
          <w:rFonts w:ascii="Times New Roman" w:eastAsia="Times New Roman" w:hAnsi="Times New Roman" w:cs="Times New Roman"/>
          <w:snapToGrid w:val="0"/>
          <w:sz w:val="24"/>
          <w:szCs w:val="24"/>
        </w:rPr>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B7704" w:rsidRPr="00650130" w:rsidRDefault="00073F7F" w:rsidP="004C5B91">
      <w:pPr>
        <w:spacing w:after="0" w:line="360" w:lineRule="auto"/>
        <w:ind w:firstLine="709"/>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b/>
          <w:i/>
          <w:snapToGrid w:val="0"/>
          <w:sz w:val="24"/>
          <w:szCs w:val="24"/>
          <w:u w:val="single"/>
        </w:rPr>
        <w:t>Забележка:</w:t>
      </w:r>
      <w:r w:rsidRPr="00650130">
        <w:rPr>
          <w:rFonts w:ascii="Times New Roman" w:eastAsia="Times New Roman" w:hAnsi="Times New Roman" w:cs="Times New Roman"/>
          <w:i/>
          <w:snapToGrid w:val="0"/>
          <w:sz w:val="24"/>
          <w:szCs w:val="24"/>
        </w:rPr>
        <w:t xml:space="preserve"> </w:t>
      </w:r>
      <w:r w:rsidR="007B7704" w:rsidRPr="00650130">
        <w:rPr>
          <w:rFonts w:ascii="Times New Roman" w:eastAsia="Times New Roman" w:hAnsi="Times New Roman" w:cs="Times New Roman"/>
          <w:i/>
          <w:snapToGrid w:val="0"/>
          <w:sz w:val="24"/>
          <w:szCs w:val="24"/>
        </w:rPr>
        <w:t>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2,чл. 118, чл.</w:t>
      </w:r>
      <w:r w:rsidR="002A4FD4" w:rsidRPr="00650130">
        <w:rPr>
          <w:rFonts w:ascii="Times New Roman" w:eastAsia="Times New Roman" w:hAnsi="Times New Roman" w:cs="Times New Roman"/>
          <w:i/>
          <w:snapToGrid w:val="0"/>
          <w:sz w:val="24"/>
          <w:szCs w:val="24"/>
        </w:rPr>
        <w:t> </w:t>
      </w:r>
      <w:r w:rsidR="007B7704" w:rsidRPr="00650130">
        <w:rPr>
          <w:rFonts w:ascii="Times New Roman" w:eastAsia="Times New Roman" w:hAnsi="Times New Roman" w:cs="Times New Roman"/>
          <w:i/>
          <w:snapToGrid w:val="0"/>
          <w:sz w:val="24"/>
          <w:szCs w:val="24"/>
        </w:rPr>
        <w:t>128, чл. 228, ал. 3, чл. 245 и чл. 301-305 от Кодекса на труда или чл. 13, ал. 1 от Закона за трудовата миграция и трудовата мобилност</w:t>
      </w:r>
      <w:r w:rsidR="007B7704" w:rsidRPr="00650130">
        <w:rPr>
          <w:rFonts w:ascii="Times New Roman" w:eastAsia="Times New Roman" w:hAnsi="Times New Roman" w:cs="Times New Roman"/>
          <w:b/>
          <w:i/>
          <w:snapToGrid w:val="0"/>
          <w:sz w:val="24"/>
          <w:szCs w:val="24"/>
        </w:rPr>
        <w:t>,</w:t>
      </w:r>
      <w:r w:rsidR="007B7704" w:rsidRPr="00650130">
        <w:rPr>
          <w:rFonts w:ascii="Times New Roman" w:eastAsia="Times New Roman" w:hAnsi="Times New Roman" w:cs="Times New Roman"/>
          <w:i/>
          <w:snapToGrid w:val="0"/>
          <w:sz w:val="24"/>
          <w:szCs w:val="24"/>
        </w:rPr>
        <w:t xml:space="preserve"> се посочват от участника</w:t>
      </w:r>
      <w:r w:rsidR="007B7704" w:rsidRPr="00650130">
        <w:rPr>
          <w:rFonts w:ascii="Times New Roman" w:eastAsia="Times New Roman" w:hAnsi="Times New Roman" w:cs="Times New Roman"/>
          <w:snapToGrid w:val="0"/>
          <w:sz w:val="24"/>
          <w:szCs w:val="24"/>
        </w:rPr>
        <w:t>*</w:t>
      </w:r>
      <w:r w:rsidR="007B7704" w:rsidRPr="00650130">
        <w:rPr>
          <w:rFonts w:ascii="Times New Roman" w:eastAsia="Times New Roman" w:hAnsi="Times New Roman" w:cs="Times New Roman"/>
          <w:i/>
          <w:snapToGrid w:val="0"/>
          <w:sz w:val="24"/>
          <w:szCs w:val="24"/>
        </w:rPr>
        <w:t xml:space="preserve"> </w:t>
      </w:r>
      <w:r w:rsidR="007B7704" w:rsidRPr="00650130">
        <w:rPr>
          <w:rFonts w:ascii="Times New Roman" w:eastAsia="Times New Roman" w:hAnsi="Times New Roman" w:cs="Times New Roman"/>
          <w:b/>
          <w:i/>
          <w:snapToGrid w:val="0"/>
          <w:sz w:val="24"/>
          <w:szCs w:val="24"/>
          <w:u w:val="single"/>
        </w:rPr>
        <w:t>чрез попълване</w:t>
      </w:r>
      <w:r w:rsidR="007B7704" w:rsidRPr="00650130">
        <w:rPr>
          <w:rFonts w:ascii="Times New Roman" w:eastAsia="Times New Roman" w:hAnsi="Times New Roman" w:cs="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еЕЕДОП.</w:t>
      </w:r>
    </w:p>
    <w:p w:rsidR="007B7704" w:rsidRPr="00650130" w:rsidRDefault="007B7704" w:rsidP="004C5B91">
      <w:pPr>
        <w:spacing w:after="0" w:line="360" w:lineRule="auto"/>
        <w:ind w:left="360" w:firstLine="349"/>
        <w:contextualSpacing/>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b/>
          <w:i/>
          <w:snapToGrid w:val="0"/>
          <w:sz w:val="24"/>
          <w:szCs w:val="24"/>
        </w:rPr>
        <w:t>Необходимо е участниците да отбележат „НЕ“/„ДА“ в полето за отговор</w:t>
      </w:r>
      <w:r w:rsidRPr="00650130">
        <w:rPr>
          <w:rFonts w:ascii="Times New Roman" w:eastAsia="Times New Roman" w:hAnsi="Times New Roman" w:cs="Times New Roman"/>
          <w:i/>
          <w:snapToGrid w:val="0"/>
          <w:sz w:val="24"/>
          <w:szCs w:val="24"/>
        </w:rPr>
        <w:t>.</w:t>
      </w:r>
    </w:p>
    <w:p w:rsidR="00073F7F" w:rsidRPr="00650130" w:rsidRDefault="007B7704" w:rsidP="004C5B91">
      <w:pPr>
        <w:spacing w:after="0" w:line="360" w:lineRule="auto"/>
        <w:ind w:firstLine="709"/>
        <w:jc w:val="both"/>
        <w:rPr>
          <w:rFonts w:ascii="Times New Roman" w:eastAsia="Times New Roman" w:hAnsi="Times New Roman" w:cs="Times New Roman"/>
          <w:b/>
          <w:i/>
          <w:snapToGrid w:val="0"/>
          <w:sz w:val="24"/>
          <w:szCs w:val="24"/>
        </w:rPr>
      </w:pPr>
      <w:r w:rsidRPr="00650130">
        <w:rPr>
          <w:rFonts w:ascii="Times New Roman" w:eastAsia="Calibri" w:hAnsi="Times New Roman" w:cs="Times New Roman"/>
          <w:b/>
          <w:i/>
          <w:snapToGrid w:val="0"/>
          <w:sz w:val="24"/>
          <w:szCs w:val="24"/>
        </w:rPr>
        <w:t>При отговор „ДА“, участникът посочва, за кое обстоятелство (нарушение) се отнася, както и номер и дата на влизане в сила на акта, с който е постановено .</w:t>
      </w:r>
    </w:p>
    <w:p w:rsidR="00C52AE4" w:rsidRPr="00650130" w:rsidRDefault="00C52AE4" w:rsidP="004C5B91">
      <w:pPr>
        <w:tabs>
          <w:tab w:val="left" w:pos="709"/>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2.1.7. за когото е налице конфликт на интереси* по смисъла на §2, т. 21 от ДР на ЗОП, ко</w:t>
      </w:r>
      <w:r w:rsidR="00DB1C44" w:rsidRPr="00650130">
        <w:rPr>
          <w:rFonts w:ascii="Times New Roman" w:eastAsia="Times New Roman" w:hAnsi="Times New Roman" w:cs="Times New Roman"/>
          <w:snapToGrid w:val="0"/>
          <w:sz w:val="24"/>
          <w:szCs w:val="24"/>
        </w:rPr>
        <w:t>йто не може да бъде отстранен.</w:t>
      </w:r>
    </w:p>
    <w:p w:rsidR="00C52AE4" w:rsidRPr="00650130" w:rsidRDefault="00C52AE4" w:rsidP="004C5B91">
      <w:pPr>
        <w:tabs>
          <w:tab w:val="left" w:pos="540"/>
          <w:tab w:val="left" w:pos="3240"/>
          <w:tab w:val="left" w:pos="9540"/>
        </w:tabs>
        <w:spacing w:after="0" w:line="360" w:lineRule="auto"/>
        <w:ind w:firstLine="709"/>
        <w:jc w:val="both"/>
        <w:rPr>
          <w:rFonts w:ascii="Times New Roman" w:eastAsia="Times New Roman" w:hAnsi="Times New Roman" w:cs="Times New Roman"/>
          <w:i/>
          <w:snapToGrid w:val="0"/>
          <w:sz w:val="24"/>
          <w:szCs w:val="24"/>
        </w:rPr>
      </w:pPr>
      <w:r w:rsidRPr="00650130">
        <w:rPr>
          <w:rFonts w:ascii="Times New Roman" w:eastAsia="Times New Roman" w:hAnsi="Times New Roman" w:cs="Times New Roman"/>
          <w:i/>
          <w:snapToGrid w:val="0"/>
          <w:sz w:val="24"/>
          <w:szCs w:val="24"/>
        </w:rPr>
        <w:t xml:space="preserve">* </w:t>
      </w:r>
      <w:r w:rsidR="007B7704" w:rsidRPr="00650130">
        <w:rPr>
          <w:rFonts w:ascii="Times New Roman" w:eastAsia="Times New Roman" w:hAnsi="Times New Roman" w:cs="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C52AE4" w:rsidRPr="00650130" w:rsidRDefault="00C52AE4" w:rsidP="004C5B91">
      <w:pPr>
        <w:tabs>
          <w:tab w:val="left" w:pos="851"/>
          <w:tab w:val="left" w:pos="1134"/>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2.2.</w:t>
      </w:r>
      <w:r w:rsidRPr="00650130">
        <w:rPr>
          <w:rFonts w:ascii="Times New Roman" w:eastAsia="Times New Roman" w:hAnsi="Times New Roman" w:cs="Times New Roman"/>
          <w:snapToGrid w:val="0"/>
          <w:sz w:val="24"/>
          <w:szCs w:val="24"/>
        </w:rPr>
        <w:t xml:space="preserve"> </w:t>
      </w:r>
      <w:r w:rsidR="007B7704" w:rsidRPr="00650130">
        <w:rPr>
          <w:rFonts w:ascii="Times New Roman" w:eastAsia="Times New Roman" w:hAnsi="Times New Roman" w:cs="Times New Roman"/>
          <w:b/>
          <w:snapToGrid w:val="0"/>
          <w:sz w:val="24"/>
          <w:szCs w:val="24"/>
        </w:rPr>
        <w:t xml:space="preserve">На основание чл. 55, ал. 1, т. 1 от ЗОП Възложителят отстранява от участие в процедурата участник, </w:t>
      </w:r>
      <w:r w:rsidR="007B7704" w:rsidRPr="00650130">
        <w:rPr>
          <w:rFonts w:ascii="Times New Roman" w:eastAsia="Times New Roman" w:hAnsi="Times New Roman" w:cs="Times New Roman"/>
          <w:snapToGrid w:val="0"/>
          <w:sz w:val="24"/>
          <w:szCs w:val="24"/>
        </w:rPr>
        <w:t xml:space="preserve">обявен в несъстоятелност или е в производство по </w:t>
      </w:r>
      <w:r w:rsidR="007B7704" w:rsidRPr="00650130">
        <w:rPr>
          <w:rFonts w:ascii="Times New Roman" w:eastAsia="Times New Roman" w:hAnsi="Times New Roman" w:cs="Times New Roman"/>
          <w:snapToGrid w:val="0"/>
          <w:sz w:val="24"/>
          <w:szCs w:val="24"/>
        </w:rPr>
        <w:lastRenderedPageBreak/>
        <w:t>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650130">
        <w:rPr>
          <w:rFonts w:ascii="Times New Roman" w:eastAsia="Times New Roman" w:hAnsi="Times New Roman" w:cs="Times New Roman"/>
          <w:snapToGrid w:val="0"/>
          <w:sz w:val="24"/>
          <w:szCs w:val="24"/>
        </w:rPr>
        <w:t>;</w:t>
      </w:r>
    </w:p>
    <w:p w:rsidR="00C52AE4" w:rsidRPr="00650130" w:rsidRDefault="00C52AE4" w:rsidP="004C5B91">
      <w:pPr>
        <w:tabs>
          <w:tab w:val="left" w:pos="720"/>
        </w:tabs>
        <w:spacing w:after="0" w:line="360" w:lineRule="auto"/>
        <w:ind w:firstLine="709"/>
        <w:jc w:val="both"/>
        <w:rPr>
          <w:rFonts w:ascii="Times New Roman" w:eastAsia="Times New Roman" w:hAnsi="Times New Roman" w:cs="Times New Roman"/>
          <w:i/>
          <w:sz w:val="24"/>
          <w:szCs w:val="24"/>
          <w:lang w:eastAsia="bg-BG"/>
        </w:rPr>
      </w:pPr>
      <w:r w:rsidRPr="00650130">
        <w:rPr>
          <w:rFonts w:ascii="Times New Roman" w:eastAsia="Times New Roman" w:hAnsi="Times New Roman" w:cs="Times New Roman"/>
          <w:b/>
          <w:i/>
          <w:sz w:val="24"/>
          <w:szCs w:val="24"/>
          <w:lang w:eastAsia="bg-BG"/>
        </w:rPr>
        <w:tab/>
        <w:t>Забележка</w:t>
      </w:r>
      <w:r w:rsidRPr="00650130">
        <w:rPr>
          <w:rFonts w:ascii="Times New Roman" w:eastAsia="Times New Roman" w:hAnsi="Times New Roman" w:cs="Times New Roman"/>
          <w:i/>
          <w:sz w:val="24"/>
          <w:szCs w:val="24"/>
          <w:lang w:eastAsia="bg-BG"/>
        </w:rPr>
        <w:t xml:space="preserve">: </w:t>
      </w:r>
      <w:r w:rsidR="007B7704" w:rsidRPr="00650130">
        <w:rPr>
          <w:rFonts w:ascii="Times New Roman" w:eastAsia="Times New Roman" w:hAnsi="Times New Roman" w:cs="Times New Roman"/>
          <w:i/>
          <w:sz w:val="24"/>
          <w:szCs w:val="24"/>
          <w:lang w:eastAsia="bg-BG"/>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rsidR="00C52AE4" w:rsidRPr="00650130" w:rsidRDefault="00C52AE4" w:rsidP="00904293">
      <w:pPr>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b/>
          <w:sz w:val="24"/>
          <w:szCs w:val="24"/>
        </w:rPr>
        <w:t>2.3</w:t>
      </w:r>
      <w:r w:rsidRPr="00650130">
        <w:rPr>
          <w:rFonts w:ascii="Times New Roman" w:eastAsia="Calibri" w:hAnsi="Times New Roman" w:cs="Times New Roman"/>
          <w:sz w:val="24"/>
          <w:szCs w:val="24"/>
        </w:rPr>
        <w:t>. Когато участникът е юридическо лице, основанията по т. 2.1.1., т. 2.1.2</w:t>
      </w:r>
      <w:r w:rsidR="007B7704" w:rsidRPr="00650130">
        <w:rPr>
          <w:rFonts w:ascii="Times New Roman" w:eastAsia="Calibri" w:hAnsi="Times New Roman" w:cs="Times New Roman"/>
          <w:sz w:val="24"/>
          <w:szCs w:val="24"/>
        </w:rPr>
        <w:t xml:space="preserve"> и</w:t>
      </w:r>
      <w:r w:rsidRPr="00650130">
        <w:rPr>
          <w:rFonts w:ascii="Times New Roman" w:eastAsia="Calibri" w:hAnsi="Times New Roman" w:cs="Times New Roman"/>
          <w:sz w:val="24"/>
          <w:szCs w:val="24"/>
        </w:rPr>
        <w:t xml:space="preserve">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w:t>
      </w:r>
      <w:r w:rsidR="00DB1C44" w:rsidRPr="00650130">
        <w:rPr>
          <w:rFonts w:ascii="Times New Roman" w:eastAsia="Calibri" w:hAnsi="Times New Roman" w:cs="Times New Roman"/>
          <w:sz w:val="24"/>
          <w:szCs w:val="24"/>
        </w:rPr>
        <w:t>нето на решения от тези органи.</w:t>
      </w:r>
    </w:p>
    <w:p w:rsidR="00C52AE4" w:rsidRPr="00650130" w:rsidRDefault="00C52AE4" w:rsidP="004C5B91">
      <w:pPr>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b/>
          <w:sz w:val="24"/>
          <w:szCs w:val="24"/>
        </w:rPr>
        <w:t>2.4</w:t>
      </w:r>
      <w:r w:rsidRPr="00650130">
        <w:rPr>
          <w:rFonts w:ascii="Times New Roman" w:eastAsia="Calibri" w:hAnsi="Times New Roman" w:cs="Times New Roman"/>
          <w:sz w:val="24"/>
          <w:szCs w:val="24"/>
        </w:rPr>
        <w:t xml:space="preserve">. Участник в процедурата, за когото е налице някое от основанията, посочени в </w:t>
      </w:r>
      <w:r w:rsidR="002A4FD4" w:rsidRPr="00650130">
        <w:rPr>
          <w:rFonts w:ascii="Times New Roman" w:eastAsia="Calibri" w:hAnsi="Times New Roman" w:cs="Times New Roman"/>
          <w:sz w:val="24"/>
          <w:szCs w:val="24"/>
        </w:rPr>
        <w:t>т. </w:t>
      </w:r>
      <w:r w:rsidRPr="00650130">
        <w:rPr>
          <w:rFonts w:ascii="Times New Roman" w:eastAsia="Calibri" w:hAnsi="Times New Roman" w:cs="Times New Roman"/>
          <w:sz w:val="24"/>
          <w:szCs w:val="24"/>
        </w:rPr>
        <w:t>2.1. или основаният</w:t>
      </w:r>
      <w:r w:rsidR="002A4FD4" w:rsidRPr="00650130">
        <w:rPr>
          <w:rFonts w:ascii="Times New Roman" w:eastAsia="Calibri" w:hAnsi="Times New Roman" w:cs="Times New Roman"/>
          <w:sz w:val="24"/>
          <w:szCs w:val="24"/>
        </w:rPr>
        <w:t xml:space="preserve">а, посочени в т. 2.2. по-горе, </w:t>
      </w:r>
      <w:r w:rsidRPr="00650130">
        <w:rPr>
          <w:rFonts w:ascii="Times New Roman" w:eastAsia="Calibri" w:hAnsi="Times New Roman" w:cs="Times New Roman"/>
          <w:sz w:val="24"/>
          <w:szCs w:val="24"/>
        </w:rPr>
        <w:t xml:space="preserve">има право да представи доказателства, че е предприел мерки, които гарантират неговата надеждност, съгласно чл. 56, ал. 1 </w:t>
      </w:r>
      <w:r w:rsidR="00111B11" w:rsidRPr="00650130">
        <w:rPr>
          <w:rFonts w:ascii="Times New Roman" w:eastAsia="Calibri" w:hAnsi="Times New Roman" w:cs="Times New Roman"/>
          <w:sz w:val="24"/>
          <w:szCs w:val="24"/>
        </w:rPr>
        <w:t xml:space="preserve">от </w:t>
      </w:r>
      <w:r w:rsidR="002A4FD4" w:rsidRPr="00650130">
        <w:rPr>
          <w:rFonts w:ascii="Times New Roman" w:eastAsia="Calibri" w:hAnsi="Times New Roman" w:cs="Times New Roman"/>
          <w:sz w:val="24"/>
          <w:szCs w:val="24"/>
        </w:rPr>
        <w:t>ЗОП.</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2.5</w:t>
      </w:r>
      <w:r w:rsidRPr="00650130">
        <w:rPr>
          <w:rFonts w:ascii="Times New Roman" w:eastAsia="Times New Roman" w:hAnsi="Times New Roman" w:cs="Times New Roman"/>
          <w:snapToGrid w:val="0"/>
          <w:sz w:val="24"/>
          <w:szCs w:val="24"/>
        </w:rPr>
        <w:t>. Използване на капацитета на трети лица. Подизпълнители.</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650130">
        <w:rPr>
          <w:rFonts w:ascii="Times New Roman" w:eastAsia="Calibri" w:hAnsi="Times New Roman" w:cs="Times New Roman"/>
          <w:sz w:val="24"/>
          <w:szCs w:val="24"/>
        </w:rPr>
        <w:t xml:space="preserve">някое от основанията посочени в т. 2.1. </w:t>
      </w:r>
      <w:r w:rsidRPr="00650130">
        <w:rPr>
          <w:rFonts w:ascii="Times New Roman" w:eastAsia="Times New Roman" w:hAnsi="Times New Roman" w:cs="Times New Roman"/>
          <w:snapToGrid w:val="0"/>
          <w:sz w:val="24"/>
          <w:szCs w:val="24"/>
        </w:rPr>
        <w:t>и т. 2.2. по-горе.</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2.6</w:t>
      </w:r>
      <w:r w:rsidRPr="00650130">
        <w:rPr>
          <w:rFonts w:ascii="Times New Roman" w:eastAsia="Times New Roman" w:hAnsi="Times New Roman" w:cs="Times New Roman"/>
          <w:snapToGrid w:val="0"/>
          <w:sz w:val="24"/>
          <w:szCs w:val="24"/>
        </w:rPr>
        <w:t>. Обединения.</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650130">
        <w:rPr>
          <w:rFonts w:ascii="Times New Roman" w:eastAsia="Calibri" w:hAnsi="Times New Roman" w:cs="Times New Roman"/>
          <w:sz w:val="24"/>
          <w:szCs w:val="24"/>
        </w:rPr>
        <w:t xml:space="preserve">посочени в т. 2.1. </w:t>
      </w:r>
      <w:r w:rsidRPr="00650130">
        <w:rPr>
          <w:rFonts w:ascii="Times New Roman" w:eastAsia="Times New Roman" w:hAnsi="Times New Roman" w:cs="Times New Roman"/>
          <w:snapToGrid w:val="0"/>
          <w:sz w:val="24"/>
          <w:szCs w:val="24"/>
        </w:rPr>
        <w:t>или т. 2.2. по-горе.</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2.7</w:t>
      </w:r>
      <w:r w:rsidRPr="00650130">
        <w:rPr>
          <w:rFonts w:ascii="Times New Roman" w:eastAsia="Times New Roman" w:hAnsi="Times New Roman" w:cs="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650130">
        <w:rPr>
          <w:rFonts w:ascii="Times New Roman" w:eastAsia="Calibri" w:hAnsi="Times New Roman" w:cs="Times New Roman"/>
          <w:sz w:val="24"/>
          <w:szCs w:val="24"/>
        </w:rPr>
        <w:t xml:space="preserve">посочени в т. 2.1. </w:t>
      </w:r>
      <w:r w:rsidRPr="00650130">
        <w:rPr>
          <w:rFonts w:ascii="Times New Roman" w:eastAsia="Times New Roman" w:hAnsi="Times New Roman" w:cs="Times New Roman"/>
          <w:snapToGrid w:val="0"/>
          <w:sz w:val="24"/>
          <w:szCs w:val="24"/>
        </w:rPr>
        <w:t>или т. 2.2 по-горе.</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2.8.</w:t>
      </w:r>
      <w:r w:rsidRPr="00650130">
        <w:rPr>
          <w:rFonts w:ascii="Times New Roman" w:eastAsia="Times New Roman" w:hAnsi="Times New Roman" w:cs="Times New Roman"/>
          <w:snapToGrid w:val="0"/>
          <w:sz w:val="24"/>
          <w:szCs w:val="24"/>
        </w:rPr>
        <w:t xml:space="preserve"> Основанията за отстраняване се прилагат до изтичане на сроковете, посочени в чл. 57, ал. 3 </w:t>
      </w:r>
      <w:r w:rsidR="00111B11" w:rsidRPr="00650130">
        <w:rPr>
          <w:rFonts w:ascii="Times New Roman" w:eastAsia="Times New Roman" w:hAnsi="Times New Roman" w:cs="Times New Roman"/>
          <w:snapToGrid w:val="0"/>
          <w:sz w:val="24"/>
          <w:szCs w:val="24"/>
        </w:rPr>
        <w:t xml:space="preserve">от </w:t>
      </w:r>
      <w:r w:rsidRPr="00650130">
        <w:rPr>
          <w:rFonts w:ascii="Times New Roman" w:eastAsia="Times New Roman" w:hAnsi="Times New Roman" w:cs="Times New Roman"/>
          <w:snapToGrid w:val="0"/>
          <w:sz w:val="24"/>
          <w:szCs w:val="24"/>
        </w:rPr>
        <w:t xml:space="preserve">ЗОП. Възложителят отстранява от участие в процедурата участник, за когото </w:t>
      </w:r>
      <w:r w:rsidRPr="00650130">
        <w:rPr>
          <w:rFonts w:ascii="Times New Roman" w:eastAsia="Times New Roman" w:hAnsi="Times New Roman" w:cs="Times New Roman"/>
          <w:snapToGrid w:val="0"/>
          <w:sz w:val="24"/>
          <w:szCs w:val="24"/>
        </w:rPr>
        <w:lastRenderedPageBreak/>
        <w:t>е налице някое от основанията и обстоятелствата, които са възникнали преди или по време на процедурата.</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napToGrid w:val="0"/>
          <w:sz w:val="24"/>
          <w:szCs w:val="24"/>
        </w:rPr>
        <w:t>2.9.</w:t>
      </w:r>
      <w:r w:rsidRPr="00650130">
        <w:rPr>
          <w:rFonts w:ascii="Times New Roman" w:eastAsia="Times New Roman" w:hAnsi="Times New Roman" w:cs="Times New Roman"/>
          <w:snapToGrid w:val="0"/>
          <w:sz w:val="24"/>
          <w:szCs w:val="24"/>
        </w:rPr>
        <w:t xml:space="preserve"> Освен на основанията, </w:t>
      </w:r>
      <w:r w:rsidRPr="00650130">
        <w:rPr>
          <w:rFonts w:ascii="Times New Roman" w:eastAsia="Calibri" w:hAnsi="Times New Roman" w:cs="Times New Roman"/>
          <w:sz w:val="24"/>
          <w:szCs w:val="24"/>
        </w:rPr>
        <w:t xml:space="preserve">посочени в т. 2.1. </w:t>
      </w:r>
      <w:r w:rsidRPr="00650130">
        <w:rPr>
          <w:rFonts w:ascii="Times New Roman" w:eastAsia="Times New Roman" w:hAnsi="Times New Roman" w:cs="Times New Roman"/>
          <w:snapToGrid w:val="0"/>
          <w:sz w:val="24"/>
          <w:szCs w:val="24"/>
        </w:rPr>
        <w:t xml:space="preserve">и т. 2.2. по-горе, </w:t>
      </w:r>
      <w:r w:rsidRPr="00650130">
        <w:rPr>
          <w:rFonts w:ascii="Times New Roman" w:eastAsia="Times New Roman" w:hAnsi="Times New Roman" w:cs="Times New Roman"/>
          <w:b/>
          <w:snapToGrid w:val="0"/>
          <w:sz w:val="24"/>
          <w:szCs w:val="24"/>
        </w:rPr>
        <w:t>възложителят отстранява от процедурата</w:t>
      </w:r>
      <w:r w:rsidR="00DB1C44" w:rsidRPr="00650130">
        <w:rPr>
          <w:rFonts w:ascii="Times New Roman" w:eastAsia="Times New Roman" w:hAnsi="Times New Roman" w:cs="Times New Roman"/>
          <w:snapToGrid w:val="0"/>
          <w:sz w:val="24"/>
          <w:szCs w:val="24"/>
        </w:rPr>
        <w:t>:</w:t>
      </w:r>
    </w:p>
    <w:p w:rsidR="00C52AE4" w:rsidRPr="00650130" w:rsidRDefault="00C52AE4" w:rsidP="004C5B91">
      <w:pPr>
        <w:tabs>
          <w:tab w:val="left" w:pos="851"/>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2.9</w:t>
      </w:r>
      <w:r w:rsidR="002A4FD4" w:rsidRPr="00650130">
        <w:rPr>
          <w:rFonts w:ascii="Times New Roman" w:eastAsia="Times New Roman" w:hAnsi="Times New Roman" w:cs="Times New Roman"/>
          <w:snapToGrid w:val="0"/>
          <w:sz w:val="24"/>
          <w:szCs w:val="24"/>
        </w:rPr>
        <w:t>.1. участник, който не отговаря</w:t>
      </w:r>
      <w:r w:rsidRPr="00650130">
        <w:rPr>
          <w:rFonts w:ascii="Times New Roman" w:eastAsia="Times New Roman" w:hAnsi="Times New Roman" w:cs="Times New Roman"/>
          <w:snapToGrid w:val="0"/>
          <w:sz w:val="24"/>
          <w:szCs w:val="24"/>
        </w:rPr>
        <w:t xml:space="preserve"> на поставените критерии за подбор или не изпълни друго условие, посочено в обявлението за обществен</w:t>
      </w:r>
      <w:r w:rsidR="00DB1C44" w:rsidRPr="00650130">
        <w:rPr>
          <w:rFonts w:ascii="Times New Roman" w:eastAsia="Times New Roman" w:hAnsi="Times New Roman" w:cs="Times New Roman"/>
          <w:snapToGrid w:val="0"/>
          <w:sz w:val="24"/>
          <w:szCs w:val="24"/>
        </w:rPr>
        <w:t>а поръчка или в документацията;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2.9.2. участник, който е представи</w:t>
      </w:r>
      <w:r w:rsidR="00DB1C44" w:rsidRPr="00650130">
        <w:rPr>
          <w:rFonts w:ascii="Times New Roman" w:eastAsia="Times New Roman" w:hAnsi="Times New Roman" w:cs="Times New Roman"/>
          <w:snapToGrid w:val="0"/>
          <w:sz w:val="24"/>
          <w:szCs w:val="24"/>
        </w:rPr>
        <w:t>л оферта, която не отговаря на: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а) предварително обявените условия на поръчката;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w:t>
      </w:r>
      <w:r w:rsidR="009C6968" w:rsidRPr="00650130">
        <w:rPr>
          <w:rFonts w:ascii="Times New Roman" w:eastAsia="Times New Roman" w:hAnsi="Times New Roman" w:cs="Times New Roman"/>
          <w:snapToGrid w:val="0"/>
          <w:sz w:val="24"/>
          <w:szCs w:val="24"/>
        </w:rPr>
        <w:t xml:space="preserve"> № </w:t>
      </w:r>
      <w:r w:rsidRPr="00650130">
        <w:rPr>
          <w:rFonts w:ascii="Times New Roman" w:eastAsia="Times New Roman" w:hAnsi="Times New Roman" w:cs="Times New Roman"/>
          <w:snapToGrid w:val="0"/>
          <w:sz w:val="24"/>
          <w:szCs w:val="24"/>
        </w:rPr>
        <w:t xml:space="preserve">10 </w:t>
      </w:r>
      <w:r w:rsidR="00DB1C44" w:rsidRPr="00650130">
        <w:rPr>
          <w:rFonts w:ascii="Times New Roman" w:eastAsia="Times New Roman" w:hAnsi="Times New Roman" w:cs="Times New Roman"/>
          <w:snapToGrid w:val="0"/>
          <w:sz w:val="24"/>
          <w:szCs w:val="24"/>
        </w:rPr>
        <w:t>от ЗОП;</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 xml:space="preserve">2.9.3. участник, който не е представил в срок обосновката по чл. 72, ал. 1 </w:t>
      </w:r>
      <w:r w:rsidR="00EB1594" w:rsidRPr="00650130">
        <w:rPr>
          <w:rFonts w:ascii="Times New Roman" w:eastAsia="Times New Roman" w:hAnsi="Times New Roman" w:cs="Times New Roman"/>
          <w:snapToGrid w:val="0"/>
          <w:sz w:val="24"/>
          <w:szCs w:val="24"/>
        </w:rPr>
        <w:t xml:space="preserve">от ЗОП </w:t>
      </w:r>
      <w:r w:rsidRPr="00650130">
        <w:rPr>
          <w:rFonts w:ascii="Times New Roman" w:eastAsia="Times New Roman" w:hAnsi="Times New Roman" w:cs="Times New Roman"/>
          <w:snapToGrid w:val="0"/>
          <w:sz w:val="24"/>
          <w:szCs w:val="24"/>
        </w:rPr>
        <w:t>или чиято оферта не е приета съгласно чл. 72, ал. 3</w:t>
      </w:r>
      <w:r w:rsidR="00111B11" w:rsidRPr="00650130">
        <w:rPr>
          <w:rFonts w:ascii="Times New Roman" w:eastAsia="Times New Roman" w:hAnsi="Times New Roman" w:cs="Times New Roman"/>
          <w:snapToGrid w:val="0"/>
          <w:sz w:val="24"/>
          <w:szCs w:val="24"/>
        </w:rPr>
        <w:t xml:space="preserve"> </w:t>
      </w:r>
      <w:r w:rsidRPr="00650130">
        <w:rPr>
          <w:rFonts w:ascii="Times New Roman" w:eastAsia="Times New Roman" w:hAnsi="Times New Roman" w:cs="Times New Roman"/>
          <w:snapToGrid w:val="0"/>
          <w:sz w:val="24"/>
          <w:szCs w:val="24"/>
        </w:rPr>
        <w:t>-</w:t>
      </w:r>
      <w:r w:rsidR="00111B11" w:rsidRPr="00650130">
        <w:rPr>
          <w:rFonts w:ascii="Times New Roman" w:eastAsia="Times New Roman" w:hAnsi="Times New Roman" w:cs="Times New Roman"/>
          <w:snapToGrid w:val="0"/>
          <w:sz w:val="24"/>
          <w:szCs w:val="24"/>
        </w:rPr>
        <w:t xml:space="preserve"> </w:t>
      </w:r>
      <w:r w:rsidRPr="00650130">
        <w:rPr>
          <w:rFonts w:ascii="Times New Roman" w:eastAsia="Times New Roman" w:hAnsi="Times New Roman" w:cs="Times New Roman"/>
          <w:snapToGrid w:val="0"/>
          <w:sz w:val="24"/>
          <w:szCs w:val="24"/>
        </w:rPr>
        <w:t>5 от</w:t>
      </w:r>
      <w:r w:rsidR="00DB1C44" w:rsidRPr="00650130">
        <w:rPr>
          <w:rFonts w:ascii="Times New Roman" w:eastAsia="Times New Roman" w:hAnsi="Times New Roman" w:cs="Times New Roman"/>
          <w:snapToGrid w:val="0"/>
          <w:sz w:val="24"/>
          <w:szCs w:val="24"/>
        </w:rPr>
        <w:t xml:space="preserve"> ЗОП;</w:t>
      </w:r>
    </w:p>
    <w:p w:rsidR="00C52AE4" w:rsidRPr="00650130" w:rsidRDefault="00C52AE4" w:rsidP="004C5B91">
      <w:pPr>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2.9.4. участници, които са свързани лица.</w:t>
      </w:r>
    </w:p>
    <w:p w:rsidR="00B20EA8" w:rsidRPr="00650130" w:rsidRDefault="00B20EA8" w:rsidP="004C5B91">
      <w:pPr>
        <w:spacing w:after="0" w:line="360" w:lineRule="auto"/>
        <w:ind w:left="709" w:right="70"/>
        <w:jc w:val="both"/>
        <w:rPr>
          <w:rFonts w:ascii="Times New Roman" w:eastAsia="Times New Roman" w:hAnsi="Times New Roman" w:cs="Times New Roman"/>
          <w:snapToGrid w:val="0"/>
          <w:sz w:val="24"/>
          <w:szCs w:val="24"/>
        </w:rPr>
      </w:pPr>
    </w:p>
    <w:p w:rsidR="00C52AE4" w:rsidRPr="00650130" w:rsidRDefault="00C52AE4" w:rsidP="004C5B91">
      <w:pPr>
        <w:spacing w:after="0" w:line="360" w:lineRule="auto"/>
        <w:ind w:firstLine="709"/>
        <w:jc w:val="both"/>
        <w:rPr>
          <w:rFonts w:ascii="Times New Roman" w:eastAsia="Calibri" w:hAnsi="Times New Roman" w:cs="Times New Roman"/>
          <w:b/>
          <w:snapToGrid w:val="0"/>
          <w:sz w:val="24"/>
          <w:szCs w:val="24"/>
        </w:rPr>
      </w:pPr>
      <w:r w:rsidRPr="00650130">
        <w:rPr>
          <w:rFonts w:ascii="Times New Roman" w:eastAsia="Calibri" w:hAnsi="Times New Roman" w:cs="Times New Roman"/>
          <w:b/>
          <w:snapToGrid w:val="0"/>
          <w:sz w:val="24"/>
          <w:szCs w:val="24"/>
        </w:rPr>
        <w:t>Б. Критерии за подбор</w:t>
      </w:r>
      <w:r w:rsidR="007103ED" w:rsidRPr="00650130">
        <w:rPr>
          <w:rFonts w:ascii="Times New Roman" w:eastAsia="Calibri" w:hAnsi="Times New Roman" w:cs="Times New Roman"/>
          <w:b/>
          <w:snapToGrid w:val="0"/>
          <w:sz w:val="24"/>
          <w:szCs w:val="24"/>
        </w:rPr>
        <w:t xml:space="preserve"> </w:t>
      </w:r>
      <w:r w:rsidR="007103ED" w:rsidRPr="00650130">
        <w:rPr>
          <w:rFonts w:ascii="Times New Roman" w:hAnsi="Times New Roman" w:cs="Times New Roman"/>
          <w:b/>
          <w:snapToGrid w:val="0"/>
          <w:sz w:val="24"/>
          <w:szCs w:val="24"/>
        </w:rPr>
        <w:t>(изисквани минимални нива)</w:t>
      </w:r>
      <w:r w:rsidR="00DB1C44" w:rsidRPr="00650130">
        <w:rPr>
          <w:rFonts w:ascii="Times New Roman" w:eastAsia="Calibri" w:hAnsi="Times New Roman" w:cs="Times New Roman"/>
          <w:b/>
          <w:snapToGrid w:val="0"/>
          <w:sz w:val="24"/>
          <w:szCs w:val="24"/>
        </w:rPr>
        <w:t>.</w:t>
      </w:r>
    </w:p>
    <w:p w:rsidR="00C52AE4" w:rsidRPr="00650130" w:rsidRDefault="00C52AE4" w:rsidP="004C5B91">
      <w:pPr>
        <w:spacing w:after="0" w:line="360" w:lineRule="auto"/>
        <w:ind w:firstLine="709"/>
        <w:jc w:val="both"/>
        <w:rPr>
          <w:rFonts w:ascii="Times New Roman" w:eastAsia="Times New Roman" w:hAnsi="Times New Roman" w:cs="Times New Roman"/>
          <w:b/>
          <w:snapToGrid w:val="0"/>
          <w:sz w:val="24"/>
          <w:szCs w:val="24"/>
        </w:rPr>
      </w:pPr>
      <w:r w:rsidRPr="00650130">
        <w:rPr>
          <w:rFonts w:ascii="Times New Roman" w:eastAsia="Calibri" w:hAnsi="Times New Roman" w:cs="Times New Roman"/>
          <w:snapToGrid w:val="0"/>
          <w:sz w:val="24"/>
          <w:szCs w:val="24"/>
        </w:rPr>
        <w:t>По отношение на участниците се прилагат следните критерии за подбор:</w:t>
      </w:r>
    </w:p>
    <w:p w:rsidR="00C52AE4" w:rsidRPr="00650130" w:rsidRDefault="00C52AE4" w:rsidP="004C5B91">
      <w:pPr>
        <w:spacing w:after="0" w:line="360" w:lineRule="auto"/>
        <w:ind w:firstLine="709"/>
        <w:jc w:val="both"/>
        <w:rPr>
          <w:rFonts w:ascii="Times New Roman" w:hAnsi="Times New Roman" w:cs="Times New Roman"/>
          <w:b/>
          <w:snapToGrid w:val="0"/>
          <w:sz w:val="24"/>
          <w:szCs w:val="24"/>
        </w:rPr>
      </w:pPr>
      <w:bookmarkStart w:id="1" w:name="_Toc456878316"/>
      <w:r w:rsidRPr="00650130">
        <w:rPr>
          <w:rFonts w:ascii="Times New Roman" w:eastAsia="Calibri" w:hAnsi="Times New Roman" w:cs="Times New Roman"/>
          <w:b/>
          <w:snapToGrid w:val="0"/>
          <w:sz w:val="24"/>
          <w:szCs w:val="24"/>
        </w:rPr>
        <w:t>1. Технически и професионални способности на участника</w:t>
      </w:r>
      <w:r w:rsidR="007103ED" w:rsidRPr="00650130">
        <w:rPr>
          <w:rFonts w:ascii="Times New Roman" w:eastAsia="Calibri" w:hAnsi="Times New Roman" w:cs="Times New Roman"/>
          <w:b/>
          <w:snapToGrid w:val="0"/>
          <w:sz w:val="24"/>
          <w:szCs w:val="24"/>
        </w:rPr>
        <w:t xml:space="preserve"> </w:t>
      </w:r>
      <w:r w:rsidR="007103ED" w:rsidRPr="00650130">
        <w:rPr>
          <w:rFonts w:ascii="Times New Roman" w:hAnsi="Times New Roman" w:cs="Times New Roman"/>
          <w:b/>
          <w:snapToGrid w:val="0"/>
          <w:sz w:val="24"/>
          <w:szCs w:val="24"/>
        </w:rPr>
        <w:t>(изисквано минимално ниво)</w:t>
      </w:r>
      <w:r w:rsidRPr="00650130">
        <w:rPr>
          <w:rFonts w:ascii="Times New Roman" w:eastAsia="Calibri" w:hAnsi="Times New Roman" w:cs="Times New Roman"/>
          <w:b/>
          <w:snapToGrid w:val="0"/>
          <w:sz w:val="24"/>
          <w:szCs w:val="24"/>
        </w:rPr>
        <w:t>:</w:t>
      </w:r>
      <w:bookmarkEnd w:id="1"/>
    </w:p>
    <w:p w:rsidR="007103ED" w:rsidRPr="00650130" w:rsidRDefault="00847383" w:rsidP="004C5B91">
      <w:pPr>
        <w:tabs>
          <w:tab w:val="left" w:pos="851"/>
          <w:tab w:val="left" w:pos="3240"/>
          <w:tab w:val="left" w:pos="9356"/>
        </w:tabs>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b/>
          <w:snapToGrid w:val="0"/>
          <w:sz w:val="24"/>
          <w:szCs w:val="24"/>
        </w:rPr>
        <w:t xml:space="preserve">1.1. </w:t>
      </w:r>
      <w:r w:rsidR="00C52AE4" w:rsidRPr="00650130">
        <w:rPr>
          <w:rFonts w:ascii="Times New Roman" w:eastAsia="Calibri" w:hAnsi="Times New Roman" w:cs="Times New Roman"/>
          <w:b/>
          <w:snapToGrid w:val="0"/>
          <w:sz w:val="24"/>
          <w:szCs w:val="24"/>
        </w:rPr>
        <w:t>По обособена позиция № 1</w:t>
      </w:r>
      <w:r w:rsidR="00C52AE4" w:rsidRPr="00650130">
        <w:rPr>
          <w:rFonts w:ascii="Times New Roman" w:eastAsia="Calibri" w:hAnsi="Times New Roman" w:cs="Times New Roman"/>
          <w:snapToGrid w:val="0"/>
          <w:sz w:val="24"/>
          <w:szCs w:val="24"/>
        </w:rPr>
        <w:t xml:space="preserve"> </w:t>
      </w:r>
      <w:r w:rsidR="007103ED" w:rsidRPr="00650130">
        <w:rPr>
          <w:rFonts w:ascii="Times New Roman" w:eastAsia="Calibri" w:hAnsi="Times New Roman" w:cs="Times New Roman"/>
          <w:snapToGrid w:val="0"/>
          <w:sz w:val="24"/>
          <w:szCs w:val="24"/>
        </w:rPr>
        <w:t>–</w:t>
      </w:r>
      <w:r w:rsidR="00C52AE4" w:rsidRPr="00650130">
        <w:rPr>
          <w:rFonts w:ascii="Times New Roman" w:eastAsia="Calibri" w:hAnsi="Times New Roman" w:cs="Times New Roman"/>
          <w:snapToGrid w:val="0"/>
          <w:sz w:val="24"/>
          <w:szCs w:val="24"/>
        </w:rPr>
        <w:t xml:space="preserve"> </w:t>
      </w:r>
      <w:r w:rsidR="007103ED" w:rsidRPr="00650130">
        <w:rPr>
          <w:rFonts w:ascii="Times New Roman" w:eastAsia="Calibri" w:hAnsi="Times New Roman" w:cs="Times New Roman"/>
          <w:snapToGrid w:val="0"/>
          <w:sz w:val="24"/>
          <w:szCs w:val="24"/>
        </w:rPr>
        <w:t xml:space="preserve">Всеки </w:t>
      </w:r>
      <w:r w:rsidR="00C52AE4" w:rsidRPr="00650130">
        <w:rPr>
          <w:rFonts w:ascii="Times New Roman" w:eastAsia="Calibri" w:hAnsi="Times New Roman" w:cs="Times New Roman"/>
          <w:snapToGrid w:val="0"/>
          <w:sz w:val="24"/>
          <w:szCs w:val="24"/>
        </w:rPr>
        <w:t>участни</w:t>
      </w:r>
      <w:r w:rsidR="007103ED" w:rsidRPr="00650130">
        <w:rPr>
          <w:rFonts w:ascii="Times New Roman" w:eastAsia="Calibri" w:hAnsi="Times New Roman" w:cs="Times New Roman"/>
          <w:snapToGrid w:val="0"/>
          <w:sz w:val="24"/>
          <w:szCs w:val="24"/>
        </w:rPr>
        <w:t>к следва</w:t>
      </w:r>
      <w:r w:rsidR="00C52AE4" w:rsidRPr="00650130">
        <w:rPr>
          <w:rFonts w:ascii="Times New Roman" w:eastAsia="Calibri" w:hAnsi="Times New Roman" w:cs="Times New Roman"/>
          <w:snapToGrid w:val="0"/>
          <w:sz w:val="24"/>
          <w:szCs w:val="24"/>
        </w:rPr>
        <w:t xml:space="preserve"> да </w:t>
      </w:r>
      <w:r w:rsidR="007103ED" w:rsidRPr="00650130">
        <w:rPr>
          <w:rFonts w:ascii="Times New Roman" w:eastAsia="Calibri" w:hAnsi="Times New Roman" w:cs="Times New Roman"/>
          <w:snapToGrid w:val="0"/>
          <w:sz w:val="24"/>
          <w:szCs w:val="24"/>
        </w:rPr>
        <w:t xml:space="preserve">е </w:t>
      </w:r>
      <w:r w:rsidR="00C52AE4" w:rsidRPr="00650130">
        <w:rPr>
          <w:rFonts w:ascii="Times New Roman" w:eastAsia="Calibri" w:hAnsi="Times New Roman" w:cs="Times New Roman"/>
          <w:snapToGrid w:val="0"/>
          <w:sz w:val="24"/>
          <w:szCs w:val="24"/>
        </w:rPr>
        <w:t xml:space="preserve">изпълнил </w:t>
      </w:r>
      <w:r w:rsidR="007103ED" w:rsidRPr="00650130">
        <w:rPr>
          <w:rFonts w:ascii="Times New Roman" w:eastAsia="Calibri" w:hAnsi="Times New Roman" w:cs="Times New Roman"/>
          <w:snapToGrid w:val="0"/>
          <w:sz w:val="24"/>
          <w:szCs w:val="24"/>
        </w:rPr>
        <w:t>минимум 1 (една) доставка с предмет и обем, идентичен или с</w:t>
      </w:r>
      <w:r w:rsidR="00DB1C44" w:rsidRPr="00650130">
        <w:rPr>
          <w:rFonts w:ascii="Times New Roman" w:eastAsia="Calibri" w:hAnsi="Times New Roman" w:cs="Times New Roman"/>
          <w:snapToGrid w:val="0"/>
          <w:sz w:val="24"/>
          <w:szCs w:val="24"/>
        </w:rPr>
        <w:t>ходен* с предмета на поръчката,</w:t>
      </w:r>
      <w:r w:rsidR="007103ED" w:rsidRPr="00650130">
        <w:rPr>
          <w:rFonts w:ascii="Times New Roman" w:eastAsia="Calibri" w:hAnsi="Times New Roman" w:cs="Times New Roman"/>
          <w:snapToGrid w:val="0"/>
          <w:sz w:val="24"/>
          <w:szCs w:val="24"/>
        </w:rPr>
        <w:t xml:space="preserve"> </w:t>
      </w:r>
      <w:r w:rsidR="007103ED" w:rsidRPr="00650130">
        <w:rPr>
          <w:rFonts w:ascii="Times New Roman" w:hAnsi="Times New Roman" w:cs="Times New Roman"/>
          <w:snapToGrid w:val="0"/>
          <w:sz w:val="24"/>
          <w:szCs w:val="24"/>
        </w:rPr>
        <w:t>през последните 3 (три) години, считано от датата на подаване на заявлението за участие.</w:t>
      </w:r>
    </w:p>
    <w:p w:rsidR="003E20D3" w:rsidRPr="00650130" w:rsidRDefault="003E20D3" w:rsidP="004C5B91">
      <w:pPr>
        <w:tabs>
          <w:tab w:val="left" w:pos="851"/>
          <w:tab w:val="left" w:pos="3240"/>
          <w:tab w:val="left" w:pos="9356"/>
        </w:tabs>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w:t>
      </w:r>
      <w:r w:rsidR="007103ED" w:rsidRPr="00650130">
        <w:rPr>
          <w:rFonts w:ascii="Times New Roman" w:hAnsi="Times New Roman" w:cs="Times New Roman"/>
          <w:i/>
          <w:snapToGrid w:val="0"/>
          <w:sz w:val="24"/>
          <w:szCs w:val="24"/>
        </w:rPr>
        <w:t xml:space="preserve">Под „доставка със сходен предмет и обем“ </w:t>
      </w:r>
      <w:r w:rsidR="007103ED" w:rsidRPr="00650130">
        <w:rPr>
          <w:rFonts w:ascii="Times New Roman" w:eastAsia="Calibri" w:hAnsi="Times New Roman" w:cs="Times New Roman"/>
          <w:snapToGrid w:val="0"/>
          <w:sz w:val="24"/>
          <w:szCs w:val="24"/>
        </w:rPr>
        <w:t xml:space="preserve">следва да се разбира </w:t>
      </w:r>
      <w:r w:rsidRPr="00650130">
        <w:rPr>
          <w:rFonts w:ascii="Times New Roman" w:eastAsia="Calibri" w:hAnsi="Times New Roman" w:cs="Times New Roman"/>
          <w:snapToGrid w:val="0"/>
          <w:sz w:val="24"/>
          <w:szCs w:val="24"/>
        </w:rPr>
        <w:t xml:space="preserve">доставка на </w:t>
      </w:r>
      <w:r w:rsidR="00EB1594" w:rsidRPr="00650130">
        <w:rPr>
          <w:rFonts w:ascii="Times New Roman" w:eastAsia="Calibri" w:hAnsi="Times New Roman" w:cs="Times New Roman"/>
          <w:snapToGrid w:val="0"/>
          <w:sz w:val="24"/>
          <w:szCs w:val="24"/>
        </w:rPr>
        <w:t xml:space="preserve">всички видове </w:t>
      </w:r>
      <w:r w:rsidRPr="00650130">
        <w:rPr>
          <w:rFonts w:ascii="Times New Roman" w:eastAsia="Calibri" w:hAnsi="Times New Roman" w:cs="Times New Roman"/>
          <w:snapToGrid w:val="0"/>
          <w:sz w:val="24"/>
          <w:szCs w:val="24"/>
        </w:rPr>
        <w:t xml:space="preserve">резервни части </w:t>
      </w:r>
      <w:r w:rsidR="00EB1594" w:rsidRPr="00650130">
        <w:rPr>
          <w:rFonts w:ascii="Times New Roman" w:eastAsia="Calibri" w:hAnsi="Times New Roman" w:cs="Times New Roman"/>
          <w:snapToGrid w:val="0"/>
          <w:sz w:val="24"/>
          <w:szCs w:val="24"/>
        </w:rPr>
        <w:t xml:space="preserve">(независимо от тяхното количество и вид) </w:t>
      </w:r>
      <w:r w:rsidRPr="00650130">
        <w:rPr>
          <w:rFonts w:ascii="Times New Roman" w:eastAsia="Calibri" w:hAnsi="Times New Roman" w:cs="Times New Roman"/>
          <w:snapToGrid w:val="0"/>
          <w:sz w:val="24"/>
          <w:szCs w:val="24"/>
        </w:rPr>
        <w:t>за банкнотообработващи системи от семейството на CPS без значение от модела или доставка на резервни части за други банкнотообработващи машини от висок клас</w:t>
      </w:r>
      <w:r w:rsidR="00EB1594" w:rsidRPr="00650130">
        <w:rPr>
          <w:rFonts w:ascii="Times New Roman" w:eastAsia="Calibri" w:hAnsi="Times New Roman" w:cs="Times New Roman"/>
          <w:snapToGrid w:val="0"/>
          <w:sz w:val="24"/>
          <w:szCs w:val="24"/>
        </w:rPr>
        <w:t xml:space="preserve"> (</w:t>
      </w:r>
      <w:r w:rsidR="00BC5649" w:rsidRPr="00650130">
        <w:rPr>
          <w:rFonts w:ascii="Times New Roman" w:eastAsia="Calibri" w:hAnsi="Times New Roman" w:cs="Times New Roman"/>
          <w:snapToGrid w:val="0"/>
          <w:sz w:val="24"/>
          <w:szCs w:val="24"/>
        </w:rPr>
        <w:t xml:space="preserve">т.е. с </w:t>
      </w:r>
      <w:r w:rsidR="00EB1594" w:rsidRPr="00650130">
        <w:rPr>
          <w:rFonts w:ascii="Times New Roman" w:hAnsi="Times New Roman" w:cs="Times New Roman"/>
          <w:sz w:val="24"/>
          <w:szCs w:val="24"/>
          <w:lang w:eastAsia="bg-BG"/>
        </w:rPr>
        <w:t>производителност по-голяма от 20 банкноти/сек)</w:t>
      </w:r>
      <w:r w:rsidRPr="00650130">
        <w:rPr>
          <w:rFonts w:ascii="Times New Roman" w:eastAsia="Calibri" w:hAnsi="Times New Roman" w:cs="Times New Roman"/>
          <w:snapToGrid w:val="0"/>
          <w:sz w:val="24"/>
          <w:szCs w:val="24"/>
        </w:rPr>
        <w:t>.</w:t>
      </w:r>
    </w:p>
    <w:p w:rsidR="00847383" w:rsidRPr="00650130" w:rsidRDefault="00847383" w:rsidP="004C5B91">
      <w:pPr>
        <w:pStyle w:val="ListParagraph"/>
        <w:tabs>
          <w:tab w:val="left" w:pos="709"/>
          <w:tab w:val="left" w:pos="1843"/>
          <w:tab w:val="left" w:pos="3240"/>
          <w:tab w:val="left" w:pos="9356"/>
        </w:tabs>
        <w:spacing w:after="0" w:line="360" w:lineRule="auto"/>
        <w:ind w:left="0"/>
        <w:jc w:val="both"/>
        <w:rPr>
          <w:rFonts w:ascii="Times New Roman" w:eastAsia="Calibri" w:hAnsi="Times New Roman" w:cs="Times New Roman"/>
          <w:i/>
          <w:sz w:val="24"/>
          <w:szCs w:val="24"/>
        </w:rPr>
      </w:pPr>
      <w:r w:rsidRPr="00650130">
        <w:rPr>
          <w:rFonts w:ascii="Times New Roman" w:hAnsi="Times New Roman" w:cs="Times New Roman"/>
          <w:b/>
          <w:sz w:val="24"/>
          <w:szCs w:val="24"/>
        </w:rPr>
        <w:tab/>
      </w:r>
      <w:r w:rsidRPr="00650130">
        <w:rPr>
          <w:rFonts w:ascii="Times New Roman" w:hAnsi="Times New Roman" w:cs="Times New Roman"/>
          <w:b/>
          <w:sz w:val="24"/>
          <w:szCs w:val="24"/>
          <w:u w:val="single"/>
        </w:rPr>
        <w:t>За доказване на критерия за подбор по т. 1.1 участникът попълва</w:t>
      </w:r>
      <w:r w:rsidRPr="00650130">
        <w:rPr>
          <w:rFonts w:ascii="Times New Roman" w:hAnsi="Times New Roman" w:cs="Times New Roman"/>
          <w:sz w:val="24"/>
          <w:szCs w:val="24"/>
          <w:u w:val="single"/>
        </w:rPr>
        <w:t>:</w:t>
      </w:r>
      <w:r w:rsidRPr="00650130">
        <w:rPr>
          <w:rFonts w:ascii="Times New Roman" w:eastAsia="Calibri" w:hAnsi="Times New Roman" w:cs="Times New Roman"/>
          <w:sz w:val="24"/>
          <w:szCs w:val="24"/>
        </w:rPr>
        <w:t xml:space="preserve"> </w:t>
      </w:r>
      <w:r w:rsidRPr="00650130">
        <w:rPr>
          <w:rFonts w:ascii="Times New Roman" w:eastAsia="Calibri" w:hAnsi="Times New Roman" w:cs="Times New Roman"/>
          <w:i/>
          <w:sz w:val="24"/>
          <w:szCs w:val="24"/>
        </w:rPr>
        <w:t xml:space="preserve">част IV: „Критерии за подбор“, раздел В, „Технически и професионални способности“, </w:t>
      </w:r>
      <w:r w:rsidR="0065479C" w:rsidRPr="00650130">
        <w:rPr>
          <w:rFonts w:ascii="Times New Roman" w:eastAsia="Calibri" w:hAnsi="Times New Roman" w:cs="Times New Roman"/>
          <w:i/>
          <w:sz w:val="24"/>
          <w:szCs w:val="24"/>
        </w:rPr>
        <w:t xml:space="preserve">т. 1б: „Само за обществени поръчки за доставки и обществени поръчки за услуги“ </w:t>
      </w:r>
      <w:r w:rsidRPr="00650130">
        <w:rPr>
          <w:rFonts w:ascii="Times New Roman" w:eastAsia="Calibri" w:hAnsi="Times New Roman" w:cs="Times New Roman"/>
          <w:i/>
          <w:sz w:val="24"/>
          <w:szCs w:val="24"/>
        </w:rPr>
        <w:t>от еЕЕДОП – приложен образец към документацията</w:t>
      </w:r>
      <w:r w:rsidRPr="00650130">
        <w:rPr>
          <w:rFonts w:ascii="Times New Roman" w:eastAsia="Calibri" w:hAnsi="Times New Roman" w:cs="Times New Roman"/>
          <w:sz w:val="24"/>
          <w:szCs w:val="24"/>
          <w:lang w:eastAsia="bg-BG"/>
        </w:rPr>
        <w:t>.</w:t>
      </w:r>
    </w:p>
    <w:p w:rsidR="00847383" w:rsidRPr="00650130" w:rsidRDefault="00847383" w:rsidP="004C5B91">
      <w:pPr>
        <w:tabs>
          <w:tab w:val="left" w:pos="709"/>
          <w:tab w:val="left" w:pos="1843"/>
          <w:tab w:val="left" w:pos="3240"/>
          <w:tab w:val="left" w:pos="9356"/>
        </w:tabs>
        <w:spacing w:after="0" w:line="360" w:lineRule="auto"/>
        <w:contextualSpacing/>
        <w:jc w:val="both"/>
        <w:rPr>
          <w:rFonts w:ascii="Times New Roman" w:eastAsia="Calibri" w:hAnsi="Times New Roman" w:cs="Times New Roman"/>
          <w:sz w:val="24"/>
          <w:szCs w:val="24"/>
          <w:lang w:eastAsia="bg-BG"/>
        </w:rPr>
      </w:pPr>
      <w:bookmarkStart w:id="2" w:name="_Hlk501049213"/>
      <w:r w:rsidRPr="00650130">
        <w:rPr>
          <w:rFonts w:ascii="Times New Roman" w:eastAsia="Calibri" w:hAnsi="Times New Roman" w:cs="Times New Roman"/>
          <w:b/>
          <w:snapToGrid w:val="0"/>
          <w:sz w:val="24"/>
          <w:szCs w:val="24"/>
        </w:rPr>
        <w:tab/>
        <w:t>На етап сключване на договор участникът</w:t>
      </w:r>
      <w:r w:rsidRPr="00650130">
        <w:rPr>
          <w:rFonts w:ascii="Times New Roman" w:eastAsia="Calibri" w:hAnsi="Times New Roman" w:cs="Times New Roman"/>
          <w:snapToGrid w:val="0"/>
          <w:sz w:val="24"/>
          <w:szCs w:val="24"/>
        </w:rPr>
        <w:t xml:space="preserve">, избран за изпълнител, следва да представи: </w:t>
      </w:r>
      <w:bookmarkEnd w:id="2"/>
      <w:r w:rsidR="00BC5649" w:rsidRPr="00650130">
        <w:rPr>
          <w:rFonts w:ascii="Times New Roman" w:eastAsia="Calibri" w:hAnsi="Times New Roman" w:cs="Times New Roman"/>
          <w:sz w:val="24"/>
          <w:szCs w:val="24"/>
        </w:rPr>
        <w:t xml:space="preserve">подписан и подпечатан списък на доставка(и)та/е, коя/ито са идентични или </w:t>
      </w:r>
      <w:r w:rsidR="00BC5649" w:rsidRPr="00650130">
        <w:rPr>
          <w:rFonts w:ascii="Times New Roman" w:eastAsia="Calibri" w:hAnsi="Times New Roman" w:cs="Times New Roman"/>
          <w:sz w:val="24"/>
          <w:szCs w:val="24"/>
        </w:rPr>
        <w:lastRenderedPageBreak/>
        <w:t>сходна/и с предмета на обществената поръчка, с посочване на стойностите, датите и получателите, заедно с доказателство за извършена(и)та/е доставка/и</w:t>
      </w:r>
      <w:r w:rsidRPr="00650130">
        <w:rPr>
          <w:rFonts w:ascii="Times New Roman" w:eastAsia="Calibri" w:hAnsi="Times New Roman" w:cs="Times New Roman"/>
          <w:sz w:val="24"/>
          <w:szCs w:val="24"/>
          <w:lang w:eastAsia="bg-BG"/>
        </w:rPr>
        <w:t>.</w:t>
      </w:r>
    </w:p>
    <w:p w:rsidR="00847383" w:rsidRPr="00650130" w:rsidRDefault="00847383" w:rsidP="004C5B91">
      <w:pPr>
        <w:tabs>
          <w:tab w:val="left" w:pos="851"/>
          <w:tab w:val="left" w:pos="3240"/>
          <w:tab w:val="left" w:pos="9356"/>
        </w:tabs>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b/>
          <w:snapToGrid w:val="0"/>
          <w:sz w:val="24"/>
          <w:szCs w:val="24"/>
        </w:rPr>
        <w:t xml:space="preserve">1.2. </w:t>
      </w:r>
      <w:r w:rsidR="00C52AE4" w:rsidRPr="00650130">
        <w:rPr>
          <w:rFonts w:ascii="Times New Roman" w:eastAsia="Calibri" w:hAnsi="Times New Roman" w:cs="Times New Roman"/>
          <w:b/>
          <w:snapToGrid w:val="0"/>
          <w:sz w:val="24"/>
          <w:szCs w:val="24"/>
        </w:rPr>
        <w:t>По обособена позиция № 2</w:t>
      </w:r>
      <w:r w:rsidR="00C52AE4" w:rsidRPr="00650130">
        <w:rPr>
          <w:rFonts w:ascii="Times New Roman" w:eastAsia="Calibri" w:hAnsi="Times New Roman" w:cs="Times New Roman"/>
          <w:snapToGrid w:val="0"/>
          <w:sz w:val="24"/>
          <w:szCs w:val="24"/>
        </w:rPr>
        <w:t xml:space="preserve"> </w:t>
      </w:r>
      <w:r w:rsidR="00C52AE4" w:rsidRPr="00650130">
        <w:rPr>
          <w:rFonts w:ascii="Times New Roman" w:eastAsia="Calibri" w:hAnsi="Times New Roman" w:cs="Times New Roman"/>
          <w:sz w:val="24"/>
          <w:szCs w:val="24"/>
        </w:rPr>
        <w:t xml:space="preserve">- </w:t>
      </w:r>
      <w:r w:rsidRPr="00650130">
        <w:rPr>
          <w:rFonts w:ascii="Times New Roman" w:eastAsia="Calibri" w:hAnsi="Times New Roman" w:cs="Times New Roman"/>
          <w:sz w:val="24"/>
          <w:szCs w:val="24"/>
        </w:rPr>
        <w:t xml:space="preserve">Персоналът на участника, които ще извършва услугата, да се състои от минимум 2 (двама) дипломирани </w:t>
      </w:r>
      <w:r w:rsidR="00BC5649" w:rsidRPr="00650130">
        <w:rPr>
          <w:rFonts w:ascii="Times New Roman" w:eastAsia="Calibri" w:hAnsi="Times New Roman" w:cs="Times New Roman"/>
          <w:sz w:val="24"/>
          <w:szCs w:val="24"/>
        </w:rPr>
        <w:t>машинни или електро-</w:t>
      </w:r>
      <w:r w:rsidRPr="00650130">
        <w:rPr>
          <w:rFonts w:ascii="Times New Roman" w:eastAsia="Calibri" w:hAnsi="Times New Roman" w:cs="Times New Roman"/>
          <w:sz w:val="24"/>
          <w:szCs w:val="24"/>
        </w:rPr>
        <w:t xml:space="preserve">инженери, които да притежават професионален опит </w:t>
      </w:r>
      <w:r w:rsidR="00BC5649" w:rsidRPr="00650130">
        <w:rPr>
          <w:rFonts w:ascii="Times New Roman" w:eastAsia="Times New Roman" w:hAnsi="Times New Roman" w:cs="Times New Roman"/>
          <w:sz w:val="24"/>
          <w:szCs w:val="24"/>
          <w:lang w:eastAsia="bg-BG"/>
        </w:rPr>
        <w:t>като машинни или електро-инженери</w:t>
      </w:r>
      <w:r w:rsidR="00BC5649" w:rsidRPr="00650130">
        <w:rPr>
          <w:rFonts w:ascii="Times New Roman" w:eastAsia="Calibri" w:hAnsi="Times New Roman" w:cs="Times New Roman"/>
          <w:sz w:val="24"/>
          <w:szCs w:val="24"/>
        </w:rPr>
        <w:t xml:space="preserve"> </w:t>
      </w:r>
      <w:r w:rsidRPr="00650130">
        <w:rPr>
          <w:rFonts w:ascii="Times New Roman" w:eastAsia="Calibri" w:hAnsi="Times New Roman" w:cs="Times New Roman"/>
          <w:sz w:val="24"/>
          <w:szCs w:val="24"/>
        </w:rPr>
        <w:t>за изпълнение на поръчката най-малко 5 (пет) години.</w:t>
      </w:r>
    </w:p>
    <w:p w:rsidR="00847383" w:rsidRPr="00650130" w:rsidRDefault="00C52AE4" w:rsidP="004C5B91">
      <w:pPr>
        <w:tabs>
          <w:tab w:val="left" w:pos="851"/>
          <w:tab w:val="left" w:pos="3240"/>
          <w:tab w:val="left" w:pos="9356"/>
        </w:tabs>
        <w:spacing w:after="0" w:line="360" w:lineRule="auto"/>
        <w:ind w:firstLine="709"/>
        <w:contextualSpacing/>
        <w:jc w:val="both"/>
        <w:rPr>
          <w:rFonts w:ascii="Times New Roman" w:eastAsia="Calibri" w:hAnsi="Times New Roman" w:cs="Times New Roman"/>
          <w:i/>
          <w:sz w:val="24"/>
          <w:szCs w:val="24"/>
        </w:rPr>
      </w:pPr>
      <w:r w:rsidRPr="00650130">
        <w:rPr>
          <w:rFonts w:ascii="Times New Roman" w:eastAsia="Calibri" w:hAnsi="Times New Roman" w:cs="Times New Roman"/>
          <w:b/>
          <w:sz w:val="24"/>
          <w:szCs w:val="24"/>
          <w:u w:val="single"/>
        </w:rPr>
        <w:t xml:space="preserve">За доказване на критериите за подбор </w:t>
      </w:r>
      <w:r w:rsidR="00847383" w:rsidRPr="00650130">
        <w:rPr>
          <w:rFonts w:ascii="Times New Roman" w:eastAsia="Calibri" w:hAnsi="Times New Roman" w:cs="Times New Roman"/>
          <w:b/>
          <w:sz w:val="24"/>
          <w:szCs w:val="24"/>
          <w:u w:val="single"/>
        </w:rPr>
        <w:t xml:space="preserve">по т.1.2. </w:t>
      </w:r>
      <w:r w:rsidRPr="00650130">
        <w:rPr>
          <w:rFonts w:ascii="Times New Roman" w:eastAsia="Calibri" w:hAnsi="Times New Roman" w:cs="Times New Roman"/>
          <w:b/>
          <w:sz w:val="24"/>
          <w:szCs w:val="24"/>
          <w:u w:val="single"/>
        </w:rPr>
        <w:t>участникът попълва:</w:t>
      </w:r>
      <w:r w:rsidRPr="00650130">
        <w:rPr>
          <w:rFonts w:ascii="Times New Roman" w:eastAsia="Calibri" w:hAnsi="Times New Roman" w:cs="Times New Roman"/>
          <w:sz w:val="24"/>
          <w:szCs w:val="24"/>
        </w:rPr>
        <w:t xml:space="preserve"> </w:t>
      </w:r>
      <w:r w:rsidR="00847383" w:rsidRPr="00650130">
        <w:rPr>
          <w:rFonts w:ascii="Times New Roman" w:eastAsia="Calibri" w:hAnsi="Times New Roman" w:cs="Times New Roman"/>
          <w:i/>
          <w:sz w:val="24"/>
          <w:szCs w:val="24"/>
        </w:rPr>
        <w:t xml:space="preserve">част IV: „Критерии за подбор“, раздел В „Технически и професионални способности“, </w:t>
      </w:r>
      <w:r w:rsidR="0065479C" w:rsidRPr="00650130">
        <w:rPr>
          <w:rFonts w:ascii="Times New Roman" w:eastAsia="Calibri" w:hAnsi="Times New Roman" w:cs="Times New Roman"/>
          <w:i/>
          <w:sz w:val="24"/>
          <w:szCs w:val="24"/>
        </w:rPr>
        <w:t xml:space="preserve">т. </w:t>
      </w:r>
      <w:r w:rsidR="00E26C58" w:rsidRPr="00650130">
        <w:rPr>
          <w:rFonts w:ascii="Times New Roman" w:eastAsia="Calibri" w:hAnsi="Times New Roman" w:cs="Times New Roman"/>
          <w:i/>
          <w:sz w:val="24"/>
          <w:szCs w:val="24"/>
        </w:rPr>
        <w:t>6</w:t>
      </w:r>
      <w:r w:rsidR="0065479C" w:rsidRPr="00650130">
        <w:rPr>
          <w:rFonts w:ascii="Times New Roman" w:eastAsia="Calibri" w:hAnsi="Times New Roman" w:cs="Times New Roman"/>
          <w:i/>
          <w:sz w:val="24"/>
          <w:szCs w:val="24"/>
        </w:rPr>
        <w:t xml:space="preserve">: </w:t>
      </w:r>
      <w:r w:rsidR="00E26C58" w:rsidRPr="00650130">
        <w:rPr>
          <w:rFonts w:ascii="Times New Roman" w:eastAsia="Calibri" w:hAnsi="Times New Roman" w:cs="Times New Roman"/>
          <w:i/>
          <w:sz w:val="24"/>
          <w:szCs w:val="24"/>
        </w:rPr>
        <w:t xml:space="preserve">„Образователна и професионална квалификация“ </w:t>
      </w:r>
      <w:r w:rsidR="00847383" w:rsidRPr="00650130">
        <w:rPr>
          <w:rFonts w:ascii="Times New Roman" w:eastAsia="Calibri" w:hAnsi="Times New Roman" w:cs="Times New Roman"/>
          <w:i/>
          <w:sz w:val="24"/>
          <w:szCs w:val="24"/>
        </w:rPr>
        <w:t>от еЕЕДОП – приложен образец към документацията.</w:t>
      </w:r>
    </w:p>
    <w:p w:rsidR="00847383" w:rsidRPr="00650130" w:rsidRDefault="00C52AE4" w:rsidP="004C5B91">
      <w:pPr>
        <w:numPr>
          <w:ilvl w:val="0"/>
          <w:numId w:val="3"/>
        </w:numPr>
        <w:tabs>
          <w:tab w:val="left" w:pos="851"/>
          <w:tab w:val="left" w:pos="993"/>
        </w:tabs>
        <w:spacing w:after="0" w:line="360" w:lineRule="auto"/>
        <w:ind w:left="0" w:firstLine="709"/>
        <w:contextualSpacing/>
        <w:jc w:val="both"/>
        <w:rPr>
          <w:rFonts w:ascii="Times New Roman" w:eastAsia="Calibri" w:hAnsi="Times New Roman" w:cs="Times New Roman"/>
          <w:b/>
          <w:bCs/>
          <w:iCs/>
          <w:snapToGrid w:val="0"/>
          <w:sz w:val="24"/>
          <w:szCs w:val="24"/>
        </w:rPr>
      </w:pPr>
      <w:r w:rsidRPr="00650130">
        <w:rPr>
          <w:rFonts w:ascii="Times New Roman" w:eastAsia="Times New Roman" w:hAnsi="Times New Roman" w:cs="Times New Roman"/>
          <w:b/>
          <w:snapToGrid w:val="0"/>
          <w:sz w:val="24"/>
          <w:szCs w:val="24"/>
        </w:rPr>
        <w:t>На етап сключване на договор,</w:t>
      </w:r>
      <w:r w:rsidRPr="00650130">
        <w:rPr>
          <w:rFonts w:ascii="Times New Roman" w:eastAsia="Times New Roman" w:hAnsi="Times New Roman" w:cs="Times New Roman"/>
          <w:b/>
          <w:bCs/>
          <w:iCs/>
          <w:snapToGrid w:val="0"/>
          <w:sz w:val="24"/>
          <w:szCs w:val="24"/>
        </w:rPr>
        <w:t xml:space="preserve"> участникът</w:t>
      </w:r>
      <w:r w:rsidRPr="00650130">
        <w:rPr>
          <w:rFonts w:ascii="Times New Roman" w:eastAsia="Times New Roman" w:hAnsi="Times New Roman" w:cs="Times New Roman"/>
          <w:b/>
          <w:snapToGrid w:val="0"/>
          <w:sz w:val="24"/>
          <w:szCs w:val="24"/>
        </w:rPr>
        <w:t>,</w:t>
      </w:r>
      <w:r w:rsidRPr="00650130">
        <w:rPr>
          <w:rFonts w:ascii="Times New Roman" w:eastAsia="Times New Roman" w:hAnsi="Times New Roman" w:cs="Times New Roman"/>
          <w:b/>
          <w:i/>
          <w:snapToGrid w:val="0"/>
          <w:sz w:val="24"/>
          <w:szCs w:val="24"/>
        </w:rPr>
        <w:t xml:space="preserve"> избран за изпълнител, представ</w:t>
      </w:r>
      <w:r w:rsidR="00847383" w:rsidRPr="00650130">
        <w:rPr>
          <w:rFonts w:ascii="Times New Roman" w:eastAsia="Times New Roman" w:hAnsi="Times New Roman" w:cs="Times New Roman"/>
          <w:b/>
          <w:i/>
          <w:snapToGrid w:val="0"/>
          <w:sz w:val="24"/>
          <w:szCs w:val="24"/>
        </w:rPr>
        <w:t xml:space="preserve">и: </w:t>
      </w:r>
      <w:r w:rsidR="00847383" w:rsidRPr="00650130">
        <w:rPr>
          <w:rFonts w:ascii="Times New Roman" w:eastAsia="Calibri" w:hAnsi="Times New Roman" w:cs="Times New Roman"/>
          <w:sz w:val="24"/>
          <w:szCs w:val="24"/>
        </w:rPr>
        <w:t>подписан и подпечатан списък на персонала, които ще отговаря за изпълнение на поръчката, в който е посочена професионалната компетентност на лицата.</w:t>
      </w:r>
    </w:p>
    <w:p w:rsidR="00C52AE4" w:rsidRPr="00650130" w:rsidRDefault="00847383" w:rsidP="004C5B91">
      <w:pPr>
        <w:tabs>
          <w:tab w:val="left" w:pos="720"/>
        </w:tabs>
        <w:spacing w:after="0" w:line="360" w:lineRule="auto"/>
        <w:ind w:firstLine="709"/>
        <w:contextualSpacing/>
        <w:jc w:val="both"/>
        <w:rPr>
          <w:rFonts w:ascii="Times New Roman" w:eastAsia="Calibri" w:hAnsi="Times New Roman" w:cs="Times New Roman"/>
          <w:b/>
          <w:bCs/>
          <w:iCs/>
          <w:snapToGrid w:val="0"/>
          <w:sz w:val="24"/>
          <w:szCs w:val="24"/>
        </w:rPr>
      </w:pPr>
      <w:r w:rsidRPr="00650130">
        <w:rPr>
          <w:rFonts w:ascii="Times New Roman" w:eastAsia="Calibri" w:hAnsi="Times New Roman" w:cs="Times New Roman"/>
          <w:b/>
          <w:sz w:val="24"/>
          <w:szCs w:val="24"/>
        </w:rPr>
        <w:t>2</w:t>
      </w:r>
      <w:r w:rsidR="00C52AE4" w:rsidRPr="00650130">
        <w:rPr>
          <w:rFonts w:ascii="Times New Roman" w:eastAsia="Calibri" w:hAnsi="Times New Roman" w:cs="Times New Roman"/>
          <w:b/>
          <w:snapToGrid w:val="0"/>
          <w:sz w:val="24"/>
          <w:szCs w:val="24"/>
        </w:rPr>
        <w:t>. Обединения. Подизпълнители. Ползване капацитета на трети лица.</w:t>
      </w:r>
    </w:p>
    <w:p w:rsidR="00C52AE4" w:rsidRPr="00650130" w:rsidRDefault="00847383" w:rsidP="004C5B91">
      <w:pPr>
        <w:tabs>
          <w:tab w:val="left" w:pos="851"/>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w:t>
      </w:r>
      <w:r w:rsidR="00C52AE4" w:rsidRPr="00650130">
        <w:rPr>
          <w:rFonts w:ascii="Times New Roman" w:eastAsia="Times New Roman" w:hAnsi="Times New Roman" w:cs="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C52AE4" w:rsidRPr="00650130" w:rsidRDefault="00847383"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w:t>
      </w:r>
      <w:r w:rsidR="00C52AE4" w:rsidRPr="00650130">
        <w:rPr>
          <w:rFonts w:ascii="Times New Roman" w:eastAsia="Times New Roman" w:hAnsi="Times New Roman" w:cs="Times New Roman"/>
          <w:snapToGrid w:val="0"/>
          <w:sz w:val="24"/>
          <w:szCs w:val="24"/>
        </w:rPr>
        <w:t>.2.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w:t>
      </w:r>
      <w:r w:rsidR="009A35CE" w:rsidRPr="00650130">
        <w:rPr>
          <w:rFonts w:ascii="Times New Roman" w:eastAsia="Times New Roman" w:hAnsi="Times New Roman" w:cs="Times New Roman"/>
          <w:snapToGrid w:val="0"/>
          <w:sz w:val="24"/>
          <w:szCs w:val="24"/>
        </w:rPr>
        <w:t>то не отговаря на тези условия.</w:t>
      </w:r>
    </w:p>
    <w:p w:rsidR="008B3398" w:rsidRPr="00650130" w:rsidRDefault="00847383" w:rsidP="004C5B91">
      <w:pPr>
        <w:tabs>
          <w:tab w:val="left" w:pos="851"/>
          <w:tab w:val="left" w:pos="3240"/>
          <w:tab w:val="left" w:pos="9356"/>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2</w:t>
      </w:r>
      <w:r w:rsidR="00C52AE4" w:rsidRPr="00650130">
        <w:rPr>
          <w:rFonts w:ascii="Times New Roman" w:eastAsia="Times New Roman" w:hAnsi="Times New Roman" w:cs="Times New Roman"/>
          <w:snapToGrid w:val="0"/>
          <w:sz w:val="24"/>
          <w:szCs w:val="24"/>
        </w:rPr>
        <w:t>.3. Ако участникът се позовава на капацитета на трети ли</w:t>
      </w:r>
      <w:r w:rsidR="009A35CE" w:rsidRPr="00650130">
        <w:rPr>
          <w:rFonts w:ascii="Times New Roman" w:eastAsia="Times New Roman" w:hAnsi="Times New Roman" w:cs="Times New Roman"/>
          <w:snapToGrid w:val="0"/>
          <w:sz w:val="24"/>
          <w:szCs w:val="24"/>
        </w:rPr>
        <w:t xml:space="preserve">ца, същите следва да отговарят </w:t>
      </w:r>
      <w:r w:rsidR="00C52AE4" w:rsidRPr="00650130">
        <w:rPr>
          <w:rFonts w:ascii="Times New Roman" w:eastAsia="Times New Roman" w:hAnsi="Times New Roman" w:cs="Times New Roman"/>
          <w:snapToGrid w:val="0"/>
          <w:sz w:val="24"/>
          <w:szCs w:val="24"/>
        </w:rPr>
        <w:t>на съответните критерии за подбор, за доказването на които участникът се позовава на техния капацитет.</w:t>
      </w:r>
    </w:p>
    <w:p w:rsidR="00C75913" w:rsidRPr="00650130" w:rsidRDefault="00C75913" w:rsidP="004C5B91">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3" w:name="_Toc461283113"/>
      <w:r w:rsidRPr="00650130">
        <w:rPr>
          <w:rFonts w:ascii="Times New Roman" w:eastAsia="Times New Roman" w:hAnsi="Times New Roman" w:cs="Times New Roman"/>
          <w:color w:val="auto"/>
          <w:sz w:val="24"/>
          <w:szCs w:val="24"/>
          <w:lang w:eastAsia="bg-BG"/>
        </w:rPr>
        <w:lastRenderedPageBreak/>
        <w:t>В. Електронен Единен европейски документ за обществени поръчки (еЕЕДОП).</w:t>
      </w:r>
      <w:bookmarkEnd w:id="3"/>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1. Участникът декларира липсата на основанията за отстраняване и съответствие с критериите за подбор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2. Когато изискванията, посочени в Раздел III, буква „А“, т. 2.1.1., т.2.1.2 и т.2.1.7 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самостоятелно да представлява съответния стопански субект.</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3. еЕЕДОП се попълва и се подписва с квалифициран електронен подпис, като се прилага в електронен вид към офертата на участника.</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4. еЕЕДОП се предоставя по един от следните начини:</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4.1. 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Форматът, в който се предоставя еЕЕДОП не следва да позволява редактиране на неговото съдържание;</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4.2. 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w:t>
      </w:r>
      <w:r w:rsidR="00A231CC" w:rsidRPr="00650130">
        <w:rPr>
          <w:rFonts w:ascii="Times New Roman" w:eastAsia="Times New Roman" w:hAnsi="Times New Roman" w:cs="Times New Roman"/>
          <w:b w:val="0"/>
          <w:bCs w:val="0"/>
          <w:color w:val="000000" w:themeColor="text1"/>
          <w:sz w:val="24"/>
          <w:szCs w:val="24"/>
          <w:lang w:eastAsia="bg-BG"/>
        </w:rPr>
        <w:t>Е</w:t>
      </w:r>
      <w:r w:rsidRPr="00650130">
        <w:rPr>
          <w:rFonts w:ascii="Times New Roman" w:eastAsia="Times New Roman" w:hAnsi="Times New Roman" w:cs="Times New Roman"/>
          <w:b w:val="0"/>
          <w:bCs w:val="0"/>
          <w:color w:val="000000" w:themeColor="text1"/>
          <w:sz w:val="24"/>
          <w:szCs w:val="24"/>
          <w:lang w:eastAsia="bg-BG"/>
        </w:rPr>
        <w:t>ЕДОП е подписан и качен на интернет адреса, към който се препраща, преди крайния срок за получаване на офертите.</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5.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5.1. участник (икономически оператор), който участва самостоятелно, но ще ползва капацитета на едно или повече трети лица, представя попълнен отделен еЕЕДОП за всяко едно от третите лица, който съдържа информацията по т.1;</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lastRenderedPageBreak/>
        <w:t>5.2. участник (икономически оператор), който участва самостоятелно, но ще ползва един или повече подизпълнители, представя попълнен отделен еЕЕДОП за всеки един от подизпълнителите, в който се посочва и частта от поръчката, която ще изпълняват;</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5.3. 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6.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7.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4B235A" w:rsidRPr="00650130" w:rsidRDefault="004B235A" w:rsidP="004C5B91">
      <w:pPr>
        <w:pStyle w:val="Heading2"/>
        <w:spacing w:before="0" w:line="360" w:lineRule="auto"/>
        <w:ind w:firstLine="709"/>
        <w:jc w:val="both"/>
        <w:rPr>
          <w:rFonts w:ascii="Times New Roman" w:eastAsia="Times New Roman" w:hAnsi="Times New Roman" w:cs="Times New Roman"/>
          <w:b w:val="0"/>
          <w:bCs w:val="0"/>
          <w:color w:val="000000" w:themeColor="text1"/>
          <w:sz w:val="24"/>
          <w:szCs w:val="24"/>
          <w:lang w:eastAsia="bg-BG"/>
        </w:rPr>
      </w:pPr>
      <w:r w:rsidRPr="00650130">
        <w:rPr>
          <w:rFonts w:ascii="Times New Roman" w:eastAsia="Times New Roman" w:hAnsi="Times New Roman" w:cs="Times New Roman"/>
          <w:b w:val="0"/>
          <w:bCs w:val="0"/>
          <w:color w:val="000000" w:themeColor="text1"/>
          <w:sz w:val="24"/>
          <w:szCs w:val="24"/>
          <w:lang w:eastAsia="bg-BG"/>
        </w:rPr>
        <w:t>8.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rsidR="009A35CE" w:rsidRPr="00650130" w:rsidRDefault="004B235A" w:rsidP="004C5B91">
      <w:pPr>
        <w:pStyle w:val="ListParagraph"/>
        <w:tabs>
          <w:tab w:val="left" w:pos="1134"/>
        </w:tabs>
        <w:spacing w:after="0" w:line="360" w:lineRule="auto"/>
        <w:ind w:left="0" w:firstLine="709"/>
        <w:jc w:val="both"/>
        <w:rPr>
          <w:rFonts w:ascii="Times New Roman" w:eastAsia="Times New Roman" w:hAnsi="Times New Roman" w:cs="Times New Roman"/>
          <w:color w:val="000000" w:themeColor="text1"/>
          <w:sz w:val="24"/>
          <w:szCs w:val="24"/>
          <w:lang w:eastAsia="bg-BG"/>
        </w:rPr>
      </w:pPr>
      <w:r w:rsidRPr="00650130">
        <w:rPr>
          <w:rFonts w:ascii="Times New Roman" w:eastAsia="Times New Roman" w:hAnsi="Times New Roman" w:cs="Times New Roman"/>
          <w:color w:val="000000" w:themeColor="text1"/>
          <w:sz w:val="24"/>
          <w:szCs w:val="24"/>
          <w:lang w:eastAsia="bg-BG"/>
        </w:rPr>
        <w:t>9.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rsidR="009A35CE" w:rsidRPr="00650130" w:rsidRDefault="009A35CE" w:rsidP="004C5B91">
      <w:pPr>
        <w:pStyle w:val="ListParagraph"/>
        <w:tabs>
          <w:tab w:val="left" w:pos="1134"/>
        </w:tabs>
        <w:spacing w:after="0" w:line="360" w:lineRule="auto"/>
        <w:ind w:left="0" w:firstLine="709"/>
        <w:jc w:val="both"/>
        <w:rPr>
          <w:rFonts w:ascii="Times New Roman" w:eastAsia="Times New Roman" w:hAnsi="Times New Roman" w:cs="Times New Roman"/>
          <w:color w:val="000000" w:themeColor="text1"/>
          <w:sz w:val="24"/>
          <w:szCs w:val="24"/>
          <w:lang w:eastAsia="bg-BG"/>
        </w:rPr>
      </w:pPr>
    </w:p>
    <w:p w:rsidR="00C52AE4" w:rsidRPr="00650130" w:rsidRDefault="00C52AE4" w:rsidP="00904293">
      <w:pPr>
        <w:pStyle w:val="ListParagraph"/>
        <w:tabs>
          <w:tab w:val="left" w:pos="1134"/>
        </w:tabs>
        <w:spacing w:after="0" w:line="360" w:lineRule="auto"/>
        <w:ind w:left="0" w:firstLine="709"/>
        <w:jc w:val="both"/>
        <w:rPr>
          <w:rFonts w:ascii="Times New Roman" w:eastAsia="Times New Roman" w:hAnsi="Times New Roman" w:cs="Times New Roman"/>
          <w:b/>
          <w:sz w:val="24"/>
          <w:szCs w:val="24"/>
          <w:lang w:eastAsia="bg-BG"/>
        </w:rPr>
      </w:pPr>
      <w:r w:rsidRPr="00650130">
        <w:rPr>
          <w:rFonts w:ascii="Times New Roman" w:eastAsia="Times New Roman" w:hAnsi="Times New Roman" w:cs="Times New Roman"/>
          <w:b/>
          <w:sz w:val="24"/>
          <w:szCs w:val="24"/>
          <w:lang w:eastAsia="bg-BG"/>
        </w:rPr>
        <w:t>Г. Обособени позиции:</w:t>
      </w:r>
    </w:p>
    <w:p w:rsidR="00C52AE4" w:rsidRPr="00650130" w:rsidRDefault="00C52AE4" w:rsidP="004C5B91">
      <w:pPr>
        <w:spacing w:after="0" w:line="360" w:lineRule="auto"/>
        <w:ind w:firstLine="709"/>
        <w:jc w:val="both"/>
        <w:textAlignment w:val="top"/>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1.</w:t>
      </w:r>
      <w:r w:rsidRPr="00650130">
        <w:rPr>
          <w:rFonts w:ascii="Times New Roman" w:eastAsia="Times New Roman" w:hAnsi="Times New Roman" w:cs="Times New Roman"/>
          <w:sz w:val="24"/>
          <w:szCs w:val="24"/>
          <w:lang w:eastAsia="bg-BG"/>
        </w:rPr>
        <w:t xml:space="preserve"> Оферта от участниците може да бъде подавана за една или за всички обособени позиции.</w:t>
      </w:r>
    </w:p>
    <w:p w:rsidR="00C52AE4" w:rsidRPr="00650130" w:rsidRDefault="00C52AE4" w:rsidP="004C5B91">
      <w:pPr>
        <w:spacing w:after="0" w:line="360" w:lineRule="auto"/>
        <w:ind w:firstLine="709"/>
        <w:jc w:val="both"/>
        <w:textAlignment w:val="top"/>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2.</w:t>
      </w:r>
      <w:r w:rsidRPr="00650130">
        <w:rPr>
          <w:rFonts w:ascii="Times New Roman" w:eastAsia="Times New Roman" w:hAnsi="Times New Roman" w:cs="Times New Roman"/>
          <w:sz w:val="24"/>
          <w:szCs w:val="24"/>
          <w:lang w:eastAsia="bg-BG"/>
        </w:rPr>
        <w:t xml:space="preserve"> Няма ограничение в броя обособени позиции, които могат да се възлагат на един изпълнител.</w:t>
      </w:r>
    </w:p>
    <w:p w:rsidR="00C52AE4" w:rsidRPr="00650130" w:rsidRDefault="00C52AE4" w:rsidP="004C5B91">
      <w:pPr>
        <w:spacing w:after="0" w:line="360" w:lineRule="auto"/>
        <w:ind w:firstLine="709"/>
        <w:jc w:val="both"/>
        <w:textAlignment w:val="top"/>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3.</w:t>
      </w:r>
      <w:r w:rsidRPr="00650130">
        <w:rPr>
          <w:rFonts w:ascii="Times New Roman" w:eastAsia="Times New Roman" w:hAnsi="Times New Roman" w:cs="Times New Roman"/>
          <w:sz w:val="24"/>
          <w:szCs w:val="24"/>
          <w:lang w:eastAsia="bg-BG"/>
        </w:rPr>
        <w:t xml:space="preserve">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от ППЗОП, с посочване на позицията, за която се отнасят.</w:t>
      </w:r>
    </w:p>
    <w:p w:rsidR="00C52AE4" w:rsidRPr="00650130" w:rsidRDefault="00C52AE4" w:rsidP="004C5B91">
      <w:pPr>
        <w:spacing w:after="0" w:line="360" w:lineRule="auto"/>
        <w:ind w:firstLine="709"/>
        <w:jc w:val="both"/>
        <w:textAlignment w:val="top"/>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4.</w:t>
      </w:r>
      <w:r w:rsidRPr="00650130">
        <w:rPr>
          <w:rFonts w:ascii="Times New Roman" w:eastAsia="Times New Roman" w:hAnsi="Times New Roman" w:cs="Times New Roman"/>
          <w:sz w:val="24"/>
          <w:szCs w:val="24"/>
          <w:lang w:eastAsia="bg-BG"/>
        </w:rPr>
        <w:t xml:space="preserve"> Условията по чл. 101, ал. 8</w:t>
      </w:r>
      <w:r w:rsidR="0099024D" w:rsidRPr="00650130">
        <w:rPr>
          <w:rFonts w:ascii="Times New Roman" w:eastAsia="Times New Roman" w:hAnsi="Times New Roman" w:cs="Times New Roman"/>
          <w:sz w:val="24"/>
          <w:szCs w:val="24"/>
          <w:lang w:eastAsia="bg-BG"/>
        </w:rPr>
        <w:t xml:space="preserve"> </w:t>
      </w:r>
      <w:r w:rsidRPr="00650130">
        <w:rPr>
          <w:rFonts w:ascii="Times New Roman" w:eastAsia="Times New Roman" w:hAnsi="Times New Roman" w:cs="Times New Roman"/>
          <w:sz w:val="24"/>
          <w:szCs w:val="24"/>
          <w:lang w:eastAsia="bg-BG"/>
        </w:rPr>
        <w:t>-</w:t>
      </w:r>
      <w:r w:rsidR="0099024D" w:rsidRPr="00650130">
        <w:rPr>
          <w:rFonts w:ascii="Times New Roman" w:eastAsia="Times New Roman" w:hAnsi="Times New Roman" w:cs="Times New Roman"/>
          <w:sz w:val="24"/>
          <w:szCs w:val="24"/>
          <w:lang w:eastAsia="bg-BG"/>
        </w:rPr>
        <w:t xml:space="preserve"> </w:t>
      </w:r>
      <w:r w:rsidRPr="00650130">
        <w:rPr>
          <w:rFonts w:ascii="Times New Roman" w:eastAsia="Times New Roman" w:hAnsi="Times New Roman" w:cs="Times New Roman"/>
          <w:sz w:val="24"/>
          <w:szCs w:val="24"/>
          <w:lang w:eastAsia="bg-BG"/>
        </w:rPr>
        <w:t>11 от ЗОП се прилагат за всяка обособена позиция.</w:t>
      </w:r>
    </w:p>
    <w:p w:rsidR="00C52AE4" w:rsidRPr="00650130" w:rsidRDefault="00C52AE4"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lastRenderedPageBreak/>
        <w:t>IV. КРИТЕРИЙ ЗА ВЪЗЛАГАНЕ НА ПОРЪЧКАТА</w:t>
      </w:r>
    </w:p>
    <w:p w:rsidR="00C52AE4" w:rsidRPr="00650130" w:rsidRDefault="00C52AE4" w:rsidP="004C5B91">
      <w:pPr>
        <w:tabs>
          <w:tab w:val="left" w:pos="1134"/>
        </w:tabs>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99024D" w:rsidRPr="00650130" w:rsidRDefault="00C52AE4" w:rsidP="004C5B91">
      <w:pPr>
        <w:tabs>
          <w:tab w:val="left" w:pos="1134"/>
        </w:tabs>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Times New Roman" w:hAnsi="Times New Roman" w:cs="Times New Roman"/>
          <w:b/>
          <w:sz w:val="24"/>
          <w:szCs w:val="24"/>
          <w:lang w:eastAsia="bg-BG"/>
        </w:rPr>
        <w:t>По обособена позиция № 1:</w:t>
      </w:r>
      <w:r w:rsidRPr="00650130">
        <w:rPr>
          <w:rFonts w:ascii="Times New Roman" w:eastAsia="Times New Roman" w:hAnsi="Times New Roman" w:cs="Times New Roman"/>
          <w:sz w:val="24"/>
          <w:szCs w:val="24"/>
          <w:lang w:eastAsia="bg-BG"/>
        </w:rPr>
        <w:t xml:space="preserve"> </w:t>
      </w:r>
      <w:r w:rsidRPr="00650130">
        <w:rPr>
          <w:rFonts w:ascii="Times New Roman" w:eastAsia="Calibri" w:hAnsi="Times New Roman" w:cs="Times New Roman"/>
          <w:sz w:val="24"/>
          <w:szCs w:val="24"/>
          <w:lang w:eastAsia="bg-BG"/>
        </w:rPr>
        <w:t>Оценката на офертите се извършва по критерий за възлагане</w:t>
      </w:r>
      <w:r w:rsidRPr="00650130">
        <w:rPr>
          <w:rFonts w:ascii="Times New Roman" w:eastAsia="Times New Roman" w:hAnsi="Times New Roman" w:cs="Times New Roman"/>
          <w:sz w:val="24"/>
          <w:szCs w:val="24"/>
          <w:lang w:eastAsia="bg-BG"/>
        </w:rPr>
        <w:t xml:space="preserve"> </w:t>
      </w:r>
      <w:r w:rsidR="0099024D" w:rsidRPr="00650130">
        <w:rPr>
          <w:rFonts w:ascii="Times New Roman" w:eastAsia="Calibri" w:hAnsi="Times New Roman" w:cs="Times New Roman"/>
          <w:b/>
          <w:sz w:val="24"/>
          <w:szCs w:val="24"/>
          <w:lang w:eastAsia="bg-BG"/>
        </w:rPr>
        <w:t>„най-ниска цена“</w:t>
      </w:r>
      <w:r w:rsidR="0099024D" w:rsidRPr="00650130">
        <w:rPr>
          <w:rFonts w:ascii="Times New Roman" w:eastAsia="Calibri" w:hAnsi="Times New Roman" w:cs="Times New Roman"/>
          <w:sz w:val="24"/>
          <w:szCs w:val="24"/>
          <w:lang w:eastAsia="bg-BG"/>
        </w:rPr>
        <w:t xml:space="preserve">. </w:t>
      </w:r>
      <w:r w:rsidR="0099024D" w:rsidRPr="00650130">
        <w:rPr>
          <w:rFonts w:ascii="Times New Roman" w:eastAsia="Times New Roman" w:hAnsi="Times New Roman" w:cs="Times New Roman"/>
          <w:sz w:val="24"/>
          <w:szCs w:val="24"/>
          <w:lang w:eastAsia="bg-BG"/>
        </w:rPr>
        <w:t xml:space="preserve">При съпоставка се взема предвид общата стойност, на всички резервни и износващи се части за банкнотообработващи системи </w:t>
      </w:r>
      <w:r w:rsidR="0099024D" w:rsidRPr="00650130">
        <w:rPr>
          <w:rFonts w:ascii="Times New Roman" w:eastAsia="Calibri" w:hAnsi="Times New Roman" w:cs="Times New Roman"/>
          <w:sz w:val="24"/>
          <w:szCs w:val="24"/>
        </w:rPr>
        <w:t xml:space="preserve">марка DeLaRue, модел CPS 1500 5/4 </w:t>
      </w:r>
      <w:r w:rsidR="0099024D" w:rsidRPr="00650130">
        <w:rPr>
          <w:rFonts w:ascii="Times New Roman" w:eastAsia="Times New Roman" w:hAnsi="Times New Roman" w:cs="Times New Roman"/>
          <w:sz w:val="24"/>
          <w:szCs w:val="24"/>
          <w:lang w:eastAsia="bg-BG"/>
        </w:rPr>
        <w:t xml:space="preserve">и спомагателно оборудване към тях. </w:t>
      </w:r>
      <w:r w:rsidR="0099024D" w:rsidRPr="00650130">
        <w:rPr>
          <w:rFonts w:ascii="Times New Roman" w:eastAsia="Calibri" w:hAnsi="Times New Roman" w:cs="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r w:rsidR="004B235A" w:rsidRPr="00650130">
        <w:rPr>
          <w:rFonts w:ascii="Times New Roman" w:eastAsia="Calibri" w:hAnsi="Times New Roman" w:cs="Times New Roman"/>
          <w:sz w:val="24"/>
          <w:szCs w:val="24"/>
          <w:lang w:eastAsia="bg-BG"/>
        </w:rPr>
        <w:t xml:space="preserve"> съгласно чл. 58, ал. 3 от ППЗОП</w:t>
      </w:r>
      <w:r w:rsidR="0099024D" w:rsidRPr="00650130">
        <w:rPr>
          <w:rFonts w:ascii="Times New Roman" w:eastAsia="Calibri" w:hAnsi="Times New Roman" w:cs="Times New Roman"/>
          <w:sz w:val="24"/>
          <w:szCs w:val="24"/>
          <w:lang w:eastAsia="bg-BG"/>
        </w:rPr>
        <w:t>.</w:t>
      </w:r>
    </w:p>
    <w:p w:rsidR="00C52AE4" w:rsidRPr="00650130" w:rsidRDefault="00C52AE4" w:rsidP="004C5B91">
      <w:pPr>
        <w:tabs>
          <w:tab w:val="left" w:pos="1134"/>
        </w:tabs>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Times New Roman" w:hAnsi="Times New Roman" w:cs="Times New Roman"/>
          <w:b/>
          <w:sz w:val="24"/>
          <w:szCs w:val="24"/>
          <w:lang w:eastAsia="bg-BG"/>
        </w:rPr>
        <w:t>По обособена позиция № 2:</w:t>
      </w:r>
      <w:r w:rsidRPr="00650130">
        <w:rPr>
          <w:rFonts w:ascii="Times New Roman" w:eastAsia="Calibri" w:hAnsi="Times New Roman" w:cs="Times New Roman"/>
          <w:sz w:val="24"/>
          <w:szCs w:val="24"/>
          <w:lang w:eastAsia="bg-BG"/>
        </w:rPr>
        <w:t xml:space="preserve"> Оценката на офертите се извършва по критерий за възлагане </w:t>
      </w:r>
      <w:r w:rsidRPr="00650130">
        <w:rPr>
          <w:rFonts w:ascii="Times New Roman" w:eastAsia="Calibri" w:hAnsi="Times New Roman" w:cs="Times New Roman"/>
          <w:b/>
          <w:sz w:val="24"/>
          <w:szCs w:val="24"/>
          <w:lang w:eastAsia="bg-BG"/>
        </w:rPr>
        <w:t>„най-ниска цена“</w:t>
      </w:r>
      <w:r w:rsidRPr="00650130">
        <w:rPr>
          <w:rFonts w:ascii="Times New Roman" w:eastAsia="Calibri" w:hAnsi="Times New Roman" w:cs="Times New Roman"/>
          <w:sz w:val="24"/>
          <w:szCs w:val="24"/>
          <w:lang w:eastAsia="bg-BG"/>
        </w:rPr>
        <w:t xml:space="preserve">. </w:t>
      </w:r>
      <w:r w:rsidRPr="00650130">
        <w:rPr>
          <w:rFonts w:ascii="Times New Roman" w:eastAsia="Times New Roman" w:hAnsi="Times New Roman" w:cs="Times New Roman"/>
          <w:sz w:val="24"/>
          <w:szCs w:val="24"/>
          <w:lang w:eastAsia="bg-BG"/>
        </w:rPr>
        <w:t xml:space="preserve">При съпоставка се вземат предвид </w:t>
      </w:r>
      <w:r w:rsidRPr="00650130">
        <w:rPr>
          <w:rFonts w:ascii="Times New Roman" w:eastAsia="Calibri" w:hAnsi="Times New Roman" w:cs="Times New Roman"/>
          <w:color w:val="000000"/>
          <w:sz w:val="24"/>
          <w:szCs w:val="24"/>
        </w:rPr>
        <w:t>стойността</w:t>
      </w:r>
      <w:r w:rsidRPr="00650130">
        <w:rPr>
          <w:rFonts w:ascii="Times New Roman" w:eastAsia="Calibri" w:hAnsi="Times New Roman" w:cs="Times New Roman"/>
          <w:sz w:val="24"/>
          <w:szCs w:val="24"/>
        </w:rPr>
        <w:t xml:space="preserve"> </w:t>
      </w:r>
      <w:r w:rsidRPr="00650130">
        <w:rPr>
          <w:rFonts w:ascii="Times New Roman" w:eastAsia="Calibri" w:hAnsi="Times New Roman" w:cs="Times New Roman"/>
          <w:color w:val="000000"/>
          <w:sz w:val="24"/>
          <w:szCs w:val="24"/>
        </w:rPr>
        <w:t>на услугата</w:t>
      </w:r>
      <w:r w:rsidRPr="00650130">
        <w:rPr>
          <w:rFonts w:ascii="Times New Roman" w:eastAsia="Calibri" w:hAnsi="Times New Roman" w:cs="Times New Roman"/>
          <w:sz w:val="24"/>
          <w:szCs w:val="24"/>
        </w:rPr>
        <w:t xml:space="preserve"> по извършване на годишната профилактика на 2 броя банкнотообработващи системи марка DeLaRue, модел CPS 1500 5/4 и спомагателно оборудване към тях</w:t>
      </w:r>
      <w:r w:rsidRPr="00650130">
        <w:rPr>
          <w:rFonts w:ascii="Times New Roman" w:eastAsia="Calibri" w:hAnsi="Times New Roman" w:cs="Times New Roman"/>
          <w:color w:val="000000"/>
          <w:sz w:val="24"/>
          <w:szCs w:val="24"/>
        </w:rPr>
        <w:t xml:space="preserve">. </w:t>
      </w:r>
      <w:r w:rsidRPr="00650130">
        <w:rPr>
          <w:rFonts w:ascii="Times New Roman" w:eastAsia="Calibri" w:hAnsi="Times New Roman" w:cs="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r w:rsidR="00D06D4E" w:rsidRPr="00650130">
        <w:rPr>
          <w:rFonts w:ascii="Times New Roman" w:eastAsia="Calibri" w:hAnsi="Times New Roman" w:cs="Times New Roman"/>
          <w:sz w:val="24"/>
          <w:szCs w:val="24"/>
          <w:lang w:eastAsia="bg-BG"/>
        </w:rPr>
        <w:t xml:space="preserve"> съгласно чл. 58, ал. 3 от ППЗОП</w:t>
      </w:r>
      <w:r w:rsidRPr="00650130">
        <w:rPr>
          <w:rFonts w:ascii="Times New Roman" w:eastAsia="Calibri" w:hAnsi="Times New Roman" w:cs="Times New Roman"/>
          <w:sz w:val="24"/>
          <w:szCs w:val="24"/>
          <w:lang w:eastAsia="bg-BG"/>
        </w:rPr>
        <w:t>.</w:t>
      </w:r>
    </w:p>
    <w:p w:rsidR="0099024D" w:rsidRPr="00650130" w:rsidRDefault="00C52AE4" w:rsidP="004C5B91">
      <w:pPr>
        <w:tabs>
          <w:tab w:val="left" w:pos="72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Участникът, класиран от комисията на първо място по всяка от обособените позиции, се предлага за изпълнител на съответната позиция от обществената поръчка.</w:t>
      </w:r>
    </w:p>
    <w:p w:rsidR="00A231CC" w:rsidRPr="00650130" w:rsidRDefault="00A231CC"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p>
    <w:p w:rsidR="00C52AE4" w:rsidRPr="00650130" w:rsidRDefault="00C52AE4"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 xml:space="preserve">V. ОФЕРТА. УКАЗАНИЯ ЗА ПОДГОТОВКАТА </w:t>
      </w:r>
      <w:r w:rsidR="0099024D" w:rsidRPr="00650130">
        <w:rPr>
          <w:rFonts w:ascii="Times New Roman" w:eastAsia="Times New Roman" w:hAnsi="Times New Roman" w:cs="Times New Roman"/>
          <w:b/>
          <w:bCs/>
          <w:sz w:val="24"/>
          <w:szCs w:val="24"/>
          <w:lang w:eastAsia="bg-BG"/>
        </w:rPr>
        <w:t>Ѝ</w:t>
      </w:r>
      <w:r w:rsidRPr="00650130">
        <w:rPr>
          <w:rFonts w:ascii="Times New Roman" w:eastAsia="Times New Roman" w:hAnsi="Times New Roman" w:cs="Times New Roman"/>
          <w:b/>
          <w:bCs/>
          <w:sz w:val="24"/>
          <w:szCs w:val="24"/>
          <w:lang w:eastAsia="bg-BG"/>
        </w:rPr>
        <w:t>.</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napToGrid w:val="0"/>
          <w:sz w:val="24"/>
          <w:szCs w:val="24"/>
        </w:rPr>
      </w:pPr>
      <w:bookmarkStart w:id="4" w:name="bookmark23"/>
      <w:r w:rsidRPr="00650130">
        <w:rPr>
          <w:rFonts w:ascii="Times New Roman" w:eastAsia="Times New Roman" w:hAnsi="Times New Roman" w:cs="Times New Roman"/>
          <w:b/>
          <w:bCs/>
          <w:snapToGrid w:val="0"/>
          <w:sz w:val="24"/>
          <w:szCs w:val="24"/>
        </w:rPr>
        <w:t>1. Общи изисквания при изготвяне и представяне на офертата</w:t>
      </w:r>
      <w:bookmarkEnd w:id="4"/>
      <w:r w:rsidRPr="00650130">
        <w:rPr>
          <w:rFonts w:ascii="Times New Roman" w:eastAsia="Times New Roman" w:hAnsi="Times New Roman" w:cs="Times New Roman"/>
          <w:b/>
          <w:bCs/>
          <w:snapToGrid w:val="0"/>
          <w:sz w:val="24"/>
          <w:szCs w:val="24"/>
        </w:rPr>
        <w:t>.</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Всеки участник следва да изготви своята оферта на български език</w:t>
      </w:r>
      <w:r w:rsidRPr="00650130">
        <w:rPr>
          <w:rFonts w:ascii="Times New Roman" w:eastAsia="Times New Roman" w:hAnsi="Times New Roman" w:cs="Times New Roman"/>
          <w:snapToGrid w:val="0"/>
          <w:sz w:val="24"/>
          <w:szCs w:val="24"/>
          <w:vertAlign w:val="superscript"/>
        </w:rPr>
        <w:footnoteReference w:id="1"/>
      </w:r>
      <w:r w:rsidRPr="00650130">
        <w:rPr>
          <w:rFonts w:ascii="Times New Roman" w:eastAsia="Times New Roman" w:hAnsi="Times New Roman" w:cs="Times New Roman"/>
          <w:snapToGrid w:val="0"/>
          <w:sz w:val="24"/>
          <w:szCs w:val="24"/>
        </w:rPr>
        <w:t>, в съответствие с изискванията на Закона за обществените поръчки (ЗОП), Правилника за прилагане на Закона за обществените поръчки (ППЗОП) и като се придържа точно към обявените от възложителя условия.</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650130">
        <w:rPr>
          <w:rFonts w:ascii="Times New Roman" w:eastAsia="Times New Roman" w:hAnsi="Times New Roman" w:cs="Times New Roman"/>
          <w:sz w:val="24"/>
          <w:szCs w:val="24"/>
          <w:lang w:eastAsia="bg-BG"/>
        </w:rPr>
        <w:t xml:space="preserve"> В случай че се подаде допълнение или </w:t>
      </w:r>
      <w:r w:rsidRPr="00650130">
        <w:rPr>
          <w:rFonts w:ascii="Times New Roman" w:eastAsia="Times New Roman" w:hAnsi="Times New Roman" w:cs="Times New Roman"/>
          <w:sz w:val="24"/>
          <w:szCs w:val="24"/>
          <w:lang w:eastAsia="bg-BG"/>
        </w:rPr>
        <w:lastRenderedPageBreak/>
        <w:t>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C52AE4" w:rsidRPr="00650130" w:rsidRDefault="00C52AE4" w:rsidP="004C5B91">
      <w:pPr>
        <w:spacing w:after="0" w:line="360" w:lineRule="auto"/>
        <w:ind w:firstLine="709"/>
        <w:jc w:val="both"/>
        <w:rPr>
          <w:rFonts w:ascii="Times New Roman" w:eastAsia="Calibri" w:hAnsi="Times New Roman" w:cs="Times New Roman"/>
          <w:sz w:val="24"/>
          <w:szCs w:val="24"/>
        </w:rPr>
      </w:pPr>
      <w:r w:rsidRPr="00650130">
        <w:rPr>
          <w:rFonts w:ascii="Times New Roman" w:eastAsia="Calibri" w:hAnsi="Times New Roman" w:cs="Times New Roman"/>
          <w:sz w:val="24"/>
          <w:szCs w:val="24"/>
        </w:rPr>
        <w:t>Участниците могат да подадат оферта за една или за всички обособени позиции. Офертата следва да включва пълния обем на съответната/ните обособена/и позиция/и съобразно предме</w:t>
      </w:r>
      <w:r w:rsidR="009C6968" w:rsidRPr="00650130">
        <w:rPr>
          <w:rFonts w:ascii="Times New Roman" w:eastAsia="Calibri" w:hAnsi="Times New Roman" w:cs="Times New Roman"/>
          <w:sz w:val="24"/>
          <w:szCs w:val="24"/>
        </w:rPr>
        <w:t xml:space="preserve">та на поръчката, за която/които участникът </w:t>
      </w:r>
      <w:r w:rsidRPr="00650130">
        <w:rPr>
          <w:rFonts w:ascii="Times New Roman" w:eastAsia="Calibri" w:hAnsi="Times New Roman" w:cs="Times New Roman"/>
          <w:sz w:val="24"/>
          <w:szCs w:val="24"/>
        </w:rPr>
        <w:t>желае да участва. Участникът няма право да представя варианти на офертата. При наличието на варианти на офертата, същата не се разглежда и участникът се отстранява.</w:t>
      </w:r>
      <w:r w:rsidR="00D06D4E" w:rsidRPr="00650130">
        <w:rPr>
          <w:rFonts w:ascii="Times New Roman" w:eastAsia="Calibri" w:hAnsi="Times New Roman" w:cs="Times New Roman"/>
          <w:sz w:val="24"/>
          <w:szCs w:val="24"/>
        </w:rPr>
        <w:t xml:space="preserve"> За обособена позиция № 1 не се допуска участие по доставка на отделни артикули, включени в предмета на обособената позиция. За обособена позиция № 2 не се </w:t>
      </w:r>
      <w:r w:rsidR="00D06D4E" w:rsidRPr="00650130">
        <w:rPr>
          <w:rFonts w:ascii="Times New Roman" w:eastAsia="Times New Roman" w:hAnsi="Times New Roman" w:cs="Times New Roman"/>
          <w:snapToGrid w:val="0"/>
          <w:sz w:val="24"/>
          <w:szCs w:val="24"/>
        </w:rPr>
        <w:t>допуска участие по изпълнение на отделни дейности, включени в предмета на поръчката.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z w:val="24"/>
          <w:szCs w:val="24"/>
          <w:lang w:eastAsia="bg-BG"/>
        </w:rPr>
        <w:t>Срокът за валидност на офертите е 3 месеца, от датата, посочена в обявлението като краен срок за получаването им.</w:t>
      </w:r>
    </w:p>
    <w:p w:rsidR="00C52AE4" w:rsidRPr="00650130" w:rsidRDefault="00C52AE4" w:rsidP="004C5B91">
      <w:pPr>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Възложителят може да поиска писмено от класираните участници да удължат срока на валидност на офертите до момента на сключване на до</w:t>
      </w:r>
      <w:r w:rsidR="009C6968" w:rsidRPr="00650130">
        <w:rPr>
          <w:rFonts w:ascii="Times New Roman" w:eastAsia="Times New Roman" w:hAnsi="Times New Roman" w:cs="Times New Roman"/>
          <w:sz w:val="24"/>
          <w:szCs w:val="24"/>
          <w:lang w:eastAsia="bg-BG"/>
        </w:rPr>
        <w:t>говора за обществена поръчка.</w:t>
      </w:r>
    </w:p>
    <w:p w:rsidR="00C52AE4" w:rsidRPr="00650130" w:rsidRDefault="00C52AE4" w:rsidP="004C5B91">
      <w:pPr>
        <w:tabs>
          <w:tab w:val="left" w:pos="851"/>
          <w:tab w:val="left" w:pos="324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D06D4E" w:rsidRPr="00650130">
        <w:rPr>
          <w:rFonts w:ascii="Times New Roman" w:eastAsia="Times New Roman" w:hAnsi="Times New Roman" w:cs="Times New Roman"/>
          <w:sz w:val="24"/>
          <w:szCs w:val="24"/>
          <w:lang w:eastAsia="bg-BG"/>
        </w:rPr>
        <w:t xml:space="preserve">43 </w:t>
      </w:r>
      <w:r w:rsidRPr="00650130">
        <w:rPr>
          <w:rFonts w:ascii="Times New Roman" w:eastAsia="Times New Roman" w:hAnsi="Times New Roman" w:cs="Times New Roman"/>
          <w:sz w:val="24"/>
          <w:szCs w:val="24"/>
          <w:lang w:eastAsia="bg-BG"/>
        </w:rPr>
        <w:t>в Паричния салон на БНБ или чре</w:t>
      </w:r>
      <w:r w:rsidR="009C6968" w:rsidRPr="00650130">
        <w:rPr>
          <w:rFonts w:ascii="Times New Roman" w:eastAsia="Times New Roman" w:hAnsi="Times New Roman" w:cs="Times New Roman"/>
          <w:sz w:val="24"/>
          <w:szCs w:val="24"/>
          <w:lang w:eastAsia="bg-BG"/>
        </w:rPr>
        <w:t xml:space="preserve">з пощенска или друга куриерска </w:t>
      </w:r>
      <w:r w:rsidRPr="00650130">
        <w:rPr>
          <w:rFonts w:ascii="Times New Roman" w:eastAsia="Times New Roman" w:hAnsi="Times New Roman" w:cs="Times New Roman"/>
          <w:sz w:val="24"/>
          <w:szCs w:val="24"/>
          <w:lang w:eastAsia="bg-BG"/>
        </w:rPr>
        <w:t>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w:t>
      </w:r>
      <w:r w:rsidR="009A35CE" w:rsidRPr="00650130">
        <w:rPr>
          <w:rFonts w:ascii="Times New Roman" w:eastAsia="Times New Roman" w:hAnsi="Times New Roman" w:cs="Times New Roman"/>
          <w:sz w:val="24"/>
          <w:szCs w:val="24"/>
          <w:lang w:eastAsia="bg-BG"/>
        </w:rPr>
        <w:t>ковка, върху която се посочват:</w:t>
      </w:r>
    </w:p>
    <w:p w:rsidR="00C52AE4" w:rsidRPr="00650130" w:rsidRDefault="00C52AE4" w:rsidP="004C5B91">
      <w:pPr>
        <w:numPr>
          <w:ilvl w:val="0"/>
          <w:numId w:val="2"/>
        </w:numPr>
        <w:tabs>
          <w:tab w:val="left" w:pos="0"/>
          <w:tab w:val="left" w:pos="851"/>
        </w:tabs>
        <w:spacing w:after="0" w:line="360" w:lineRule="auto"/>
        <w:ind w:left="0" w:firstLine="709"/>
        <w:contextualSpacing/>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наименованието на участника, включително участниците в об</w:t>
      </w:r>
      <w:r w:rsidR="009A35CE" w:rsidRPr="00650130">
        <w:rPr>
          <w:rFonts w:ascii="Times New Roman" w:eastAsia="Times New Roman" w:hAnsi="Times New Roman" w:cs="Times New Roman"/>
          <w:sz w:val="24"/>
          <w:szCs w:val="24"/>
          <w:lang w:eastAsia="bg-BG"/>
        </w:rPr>
        <w:t>единението, когато е приложимо;</w:t>
      </w:r>
    </w:p>
    <w:p w:rsidR="00C52AE4" w:rsidRPr="00650130" w:rsidRDefault="00C52AE4" w:rsidP="004C5B91">
      <w:pPr>
        <w:numPr>
          <w:ilvl w:val="0"/>
          <w:numId w:val="2"/>
        </w:numPr>
        <w:tabs>
          <w:tab w:val="left" w:pos="0"/>
          <w:tab w:val="left" w:pos="851"/>
        </w:tabs>
        <w:spacing w:after="0" w:line="360" w:lineRule="auto"/>
        <w:ind w:left="0" w:firstLine="709"/>
        <w:contextualSpacing/>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адрес за кореспонденция, телефон и по възможност факс и електронен адрес;</w:t>
      </w:r>
    </w:p>
    <w:p w:rsidR="00C52AE4" w:rsidRPr="00650130" w:rsidRDefault="00C52AE4" w:rsidP="004C5B91">
      <w:pPr>
        <w:numPr>
          <w:ilvl w:val="0"/>
          <w:numId w:val="2"/>
        </w:numPr>
        <w:tabs>
          <w:tab w:val="left" w:pos="0"/>
          <w:tab w:val="left" w:pos="851"/>
        </w:tabs>
        <w:spacing w:after="0" w:line="360" w:lineRule="auto"/>
        <w:ind w:left="0" w:firstLine="709"/>
        <w:contextualSpacing/>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наименованието на обществената поръчка и съответната/те обособена/и позиция/и, за коят</w:t>
      </w:r>
      <w:r w:rsidR="009A35CE" w:rsidRPr="00650130">
        <w:rPr>
          <w:rFonts w:ascii="Times New Roman" w:eastAsia="Times New Roman" w:hAnsi="Times New Roman" w:cs="Times New Roman"/>
          <w:sz w:val="24"/>
          <w:szCs w:val="24"/>
          <w:lang w:eastAsia="bg-BG"/>
        </w:rPr>
        <w:t>о/които се подават документите.</w:t>
      </w:r>
    </w:p>
    <w:p w:rsidR="00C52AE4" w:rsidRPr="00650130" w:rsidRDefault="00C52AE4" w:rsidP="004C5B91">
      <w:pPr>
        <w:tabs>
          <w:tab w:val="left" w:pos="851"/>
          <w:tab w:val="left" w:pos="324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rsidR="00C52AE4" w:rsidRPr="00650130" w:rsidRDefault="00C52AE4" w:rsidP="004C5B91">
      <w:pPr>
        <w:tabs>
          <w:tab w:val="left" w:pos="851"/>
          <w:tab w:val="left" w:pos="3240"/>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 xml:space="preserve">Съдържанието на опаковката следва да отговаря на изискванията на възложителя, посочени в </w:t>
      </w:r>
      <w:r w:rsidRPr="00650130">
        <w:rPr>
          <w:rFonts w:ascii="Times New Roman" w:eastAsia="Times New Roman" w:hAnsi="Times New Roman" w:cs="Times New Roman"/>
          <w:b/>
          <w:sz w:val="24"/>
          <w:szCs w:val="24"/>
          <w:lang w:eastAsia="bg-BG"/>
        </w:rPr>
        <w:t>т. 2 „Съдържание на опаковката</w:t>
      </w:r>
      <w:r w:rsidRPr="00650130">
        <w:rPr>
          <w:rFonts w:ascii="Times New Roman" w:eastAsia="Times New Roman" w:hAnsi="Times New Roman" w:cs="Times New Roman"/>
          <w:sz w:val="24"/>
          <w:szCs w:val="24"/>
          <w:lang w:eastAsia="bg-BG"/>
        </w:rPr>
        <w:t>“ в настоящия раздел.</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lastRenderedPageBreak/>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w:t>
      </w:r>
      <w:r w:rsidR="009A35CE" w:rsidRPr="00650130">
        <w:rPr>
          <w:rFonts w:ascii="Times New Roman" w:eastAsia="Times New Roman" w:hAnsi="Times New Roman" w:cs="Times New Roman"/>
          <w:snapToGrid w:val="0"/>
          <w:sz w:val="24"/>
          <w:szCs w:val="24"/>
        </w:rPr>
        <w:t>приносителя се издава документ.</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C52AE4" w:rsidRPr="00650130" w:rsidRDefault="00C52AE4" w:rsidP="004C5B91">
      <w:pPr>
        <w:keepNext/>
        <w:keepLines/>
        <w:spacing w:after="0" w:line="360" w:lineRule="auto"/>
        <w:ind w:firstLine="709"/>
        <w:outlineLvl w:val="1"/>
        <w:rPr>
          <w:rFonts w:ascii="Times New Roman" w:eastAsia="Times New Roman" w:hAnsi="Times New Roman" w:cs="Times New Roman"/>
          <w:b/>
          <w:bCs/>
          <w:snapToGrid w:val="0"/>
          <w:sz w:val="24"/>
          <w:szCs w:val="24"/>
        </w:rPr>
      </w:pPr>
      <w:r w:rsidRPr="00650130">
        <w:rPr>
          <w:rFonts w:ascii="Times New Roman" w:eastAsia="Times New Roman" w:hAnsi="Times New Roman" w:cs="Times New Roman"/>
          <w:b/>
          <w:bCs/>
          <w:snapToGrid w:val="0"/>
          <w:sz w:val="24"/>
          <w:szCs w:val="24"/>
        </w:rPr>
        <w:t>2. Съдържание на опаковката.</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В представената от участника опаковка следва да се съдържат:</w:t>
      </w:r>
    </w:p>
    <w:p w:rsidR="00C52AE4" w:rsidRPr="00650130" w:rsidRDefault="00C52AE4" w:rsidP="004C5B91">
      <w:pPr>
        <w:spacing w:after="0" w:line="360" w:lineRule="auto"/>
        <w:ind w:firstLine="709"/>
        <w:jc w:val="both"/>
        <w:rPr>
          <w:rFonts w:ascii="Times New Roman" w:eastAsia="Times New Roman" w:hAnsi="Times New Roman" w:cs="Times New Roman"/>
          <w:b/>
          <w:snapToGrid w:val="0"/>
          <w:sz w:val="24"/>
          <w:szCs w:val="24"/>
        </w:rPr>
      </w:pPr>
      <w:r w:rsidRPr="00650130">
        <w:rPr>
          <w:rFonts w:ascii="Times New Roman" w:eastAsia="Times New Roman" w:hAnsi="Times New Roman" w:cs="Times New Roman"/>
          <w:b/>
          <w:snapToGrid w:val="0"/>
          <w:sz w:val="24"/>
          <w:szCs w:val="24"/>
        </w:rPr>
        <w:t>А. Информация относно личното състояние и критериите за подбор - поставят се в общата опаковка, без да</w:t>
      </w:r>
      <w:r w:rsidR="009A35CE" w:rsidRPr="00650130">
        <w:rPr>
          <w:rFonts w:ascii="Times New Roman" w:eastAsia="Times New Roman" w:hAnsi="Times New Roman" w:cs="Times New Roman"/>
          <w:b/>
          <w:snapToGrid w:val="0"/>
          <w:sz w:val="24"/>
          <w:szCs w:val="24"/>
        </w:rPr>
        <w:t xml:space="preserve"> се обособяват в отделен плик:</w:t>
      </w:r>
    </w:p>
    <w:p w:rsidR="00D06D4E" w:rsidRPr="00650130" w:rsidRDefault="00C52AE4"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 xml:space="preserve">2.1. </w:t>
      </w:r>
      <w:r w:rsidR="00D06D4E" w:rsidRPr="00650130">
        <w:rPr>
          <w:rFonts w:ascii="Times New Roman" w:eastAsia="Times New Roman" w:hAnsi="Times New Roman" w:cs="Times New Roman"/>
          <w:sz w:val="24"/>
          <w:szCs w:val="24"/>
          <w:lang w:eastAsia="bg-BG"/>
        </w:rPr>
        <w:t>Опис на представените от участника документи – свободен текст.</w:t>
      </w:r>
    </w:p>
    <w:p w:rsidR="00D06D4E" w:rsidRPr="00650130" w:rsidRDefault="00D06D4E"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2.2.</w:t>
      </w:r>
      <w:r w:rsidRPr="00650130">
        <w:rPr>
          <w:rFonts w:ascii="Times New Roman" w:eastAsia="Calibri" w:hAnsi="Times New Roman" w:cs="Times New Roman"/>
          <w:sz w:val="24"/>
          <w:szCs w:val="24"/>
          <w:lang w:eastAsia="bg-BG"/>
        </w:rPr>
        <w:tab/>
        <w:t xml:space="preserve">Електронен Единен европейски документ за обществени поръчки (еЕЕДОП, изготвен във електронен вид, цифрово подписан с </w:t>
      </w:r>
      <w:r w:rsidR="004C5B91" w:rsidRPr="00650130">
        <w:rPr>
          <w:rFonts w:ascii="Times New Roman" w:eastAsia="Calibri" w:hAnsi="Times New Roman" w:cs="Times New Roman"/>
          <w:sz w:val="24"/>
          <w:szCs w:val="24"/>
          <w:lang w:eastAsia="bg-BG"/>
        </w:rPr>
        <w:t xml:space="preserve">квалифициран </w:t>
      </w:r>
      <w:r w:rsidRPr="00650130">
        <w:rPr>
          <w:rFonts w:ascii="Times New Roman" w:eastAsia="Calibri" w:hAnsi="Times New Roman" w:cs="Times New Roman"/>
          <w:sz w:val="24"/>
          <w:szCs w:val="24"/>
          <w:lang w:eastAsia="bg-BG"/>
        </w:rPr>
        <w:t>електронен подпис и представен по един от описаните в раздел III, б. „В“, т. 4 начини), подписан от всички лица по чл. 54, ал. 2 от ЗОП*,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D06D4E" w:rsidRPr="00650130" w:rsidRDefault="00D06D4E"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*Лицата по чл. 54, ал. 2 от ЗОП са:</w:t>
      </w:r>
    </w:p>
    <w:p w:rsidR="00D06D4E" w:rsidRPr="00650130" w:rsidRDefault="00D06D4E"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а) лицата, които представляват участника;</w:t>
      </w:r>
    </w:p>
    <w:p w:rsidR="00D06D4E" w:rsidRPr="00650130" w:rsidRDefault="00D06D4E"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б) лицата, които са членове на управителни и надзорни органи на участника;</w:t>
      </w:r>
    </w:p>
    <w:p w:rsidR="00C52AE4" w:rsidRPr="00650130" w:rsidRDefault="00D06D4E" w:rsidP="004C5B91">
      <w:pPr>
        <w:spacing w:after="0" w:line="360" w:lineRule="auto"/>
        <w:ind w:firstLine="709"/>
        <w:jc w:val="both"/>
        <w:rPr>
          <w:rFonts w:ascii="Times New Roman" w:eastAsia="Calibri" w:hAnsi="Times New Roman" w:cs="Times New Roman"/>
          <w:i/>
          <w:sz w:val="24"/>
          <w:szCs w:val="24"/>
          <w:lang w:eastAsia="bg-BG"/>
        </w:rPr>
      </w:pPr>
      <w:r w:rsidRPr="00650130">
        <w:rPr>
          <w:rFonts w:ascii="Times New Roman" w:eastAsia="Calibri" w:hAnsi="Times New Roman" w:cs="Times New Roman"/>
          <w:sz w:val="24"/>
          <w:szCs w:val="24"/>
          <w:lang w:eastAsia="bg-BG"/>
        </w:rPr>
        <w:t>в) други лица, които имат правомощия да упражняват контрол при вземането на решения от тези органи;</w:t>
      </w:r>
    </w:p>
    <w:p w:rsidR="00C52AE4" w:rsidRPr="00650130" w:rsidRDefault="00C52AE4"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napToGrid w:val="0"/>
          <w:sz w:val="24"/>
          <w:szCs w:val="24"/>
        </w:rPr>
        <w:t>2.</w:t>
      </w:r>
      <w:r w:rsidR="000869D2" w:rsidRPr="00650130">
        <w:rPr>
          <w:rFonts w:ascii="Times New Roman" w:eastAsia="Calibri" w:hAnsi="Times New Roman" w:cs="Times New Roman"/>
          <w:snapToGrid w:val="0"/>
          <w:sz w:val="24"/>
          <w:szCs w:val="24"/>
        </w:rPr>
        <w:t>3</w:t>
      </w:r>
      <w:r w:rsidRPr="00650130">
        <w:rPr>
          <w:rFonts w:ascii="Times New Roman" w:eastAsia="Calibri" w:hAnsi="Times New Roman" w:cs="Times New Roman"/>
          <w:snapToGrid w:val="0"/>
          <w:sz w:val="24"/>
          <w:szCs w:val="24"/>
        </w:rPr>
        <w:t>. Документи за доказване на предприетите мерки</w:t>
      </w:r>
      <w:r w:rsidR="009C6968" w:rsidRPr="00650130">
        <w:rPr>
          <w:rFonts w:ascii="Times New Roman" w:eastAsia="Calibri" w:hAnsi="Times New Roman" w:cs="Times New Roman"/>
          <w:snapToGrid w:val="0"/>
          <w:sz w:val="24"/>
          <w:szCs w:val="24"/>
        </w:rPr>
        <w:t xml:space="preserve"> за надеждност съгласно чл. 45, </w:t>
      </w:r>
      <w:r w:rsidRPr="00650130">
        <w:rPr>
          <w:rFonts w:ascii="Times New Roman" w:eastAsia="Calibri" w:hAnsi="Times New Roman" w:cs="Times New Roman"/>
          <w:snapToGrid w:val="0"/>
          <w:sz w:val="24"/>
          <w:szCs w:val="24"/>
        </w:rPr>
        <w:t xml:space="preserve">ал. 2 от ППЗОП </w:t>
      </w:r>
      <w:r w:rsidRPr="00650130">
        <w:rPr>
          <w:rFonts w:ascii="Times New Roman" w:eastAsia="Calibri" w:hAnsi="Times New Roman" w:cs="Times New Roman"/>
          <w:b/>
          <w:snapToGrid w:val="0"/>
          <w:sz w:val="24"/>
          <w:szCs w:val="24"/>
        </w:rPr>
        <w:t>(когато е приложимо);</w:t>
      </w:r>
    </w:p>
    <w:p w:rsidR="00C52AE4" w:rsidRPr="00650130" w:rsidRDefault="00C52AE4"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2.</w:t>
      </w:r>
      <w:r w:rsidR="000869D2" w:rsidRPr="00650130">
        <w:rPr>
          <w:rFonts w:ascii="Times New Roman" w:eastAsia="Calibri" w:hAnsi="Times New Roman" w:cs="Times New Roman"/>
          <w:sz w:val="24"/>
          <w:szCs w:val="24"/>
          <w:lang w:eastAsia="bg-BG"/>
        </w:rPr>
        <w:t>4</w:t>
      </w:r>
      <w:r w:rsidRPr="00650130">
        <w:rPr>
          <w:rFonts w:ascii="Times New Roman" w:eastAsia="Calibri" w:hAnsi="Times New Roman" w:cs="Times New Roman"/>
          <w:sz w:val="24"/>
          <w:szCs w:val="24"/>
          <w:lang w:eastAsia="bg-BG"/>
        </w:rPr>
        <w:t>. Когато участникът е обединение, което не е</w:t>
      </w:r>
      <w:r w:rsidR="009C6968" w:rsidRPr="00650130">
        <w:rPr>
          <w:rFonts w:ascii="Times New Roman" w:eastAsia="Calibri" w:hAnsi="Times New Roman" w:cs="Times New Roman"/>
          <w:sz w:val="24"/>
          <w:szCs w:val="24"/>
          <w:lang w:eastAsia="bg-BG"/>
        </w:rPr>
        <w:t xml:space="preserve"> юридическо лице, на основание чл. </w:t>
      </w:r>
      <w:r w:rsidRPr="00650130">
        <w:rPr>
          <w:rFonts w:ascii="Times New Roman" w:eastAsia="Calibri" w:hAnsi="Times New Roman" w:cs="Times New Roman"/>
          <w:sz w:val="24"/>
          <w:szCs w:val="24"/>
          <w:lang w:eastAsia="bg-BG"/>
        </w:rPr>
        <w:t xml:space="preserve">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w:t>
      </w:r>
      <w:r w:rsidRPr="00650130">
        <w:rPr>
          <w:rFonts w:ascii="Times New Roman" w:eastAsia="Calibri" w:hAnsi="Times New Roman" w:cs="Times New Roman"/>
          <w:sz w:val="24"/>
          <w:szCs w:val="24"/>
          <w:lang w:eastAsia="bg-BG"/>
        </w:rPr>
        <w:lastRenderedPageBreak/>
        <w:t>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0869D2" w:rsidRPr="00650130" w:rsidRDefault="00C52AE4"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 xml:space="preserve">2.5. </w:t>
      </w:r>
      <w:r w:rsidR="000869D2" w:rsidRPr="00650130">
        <w:rPr>
          <w:rFonts w:ascii="Times New Roman" w:eastAsia="Times New Roman" w:hAnsi="Times New Roman" w:cs="Times New Roman"/>
          <w:sz w:val="24"/>
          <w:szCs w:val="24"/>
          <w:lang w:eastAsia="bg-BG"/>
        </w:rPr>
        <w:t>Декларация по чл. 59, ал. 1, т. 3 от Закона за мерките срещу изпиране на пари (ЗМИП) – по образец (когато е приложимо);</w:t>
      </w:r>
    </w:p>
    <w:p w:rsidR="000869D2" w:rsidRPr="00650130" w:rsidRDefault="000869D2" w:rsidP="004C5B91">
      <w:pPr>
        <w:spacing w:after="0" w:line="360" w:lineRule="auto"/>
        <w:ind w:firstLine="851"/>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 xml:space="preserve">2.6. </w:t>
      </w:r>
      <w:r w:rsidR="00C52AE4" w:rsidRPr="00650130">
        <w:rPr>
          <w:rFonts w:ascii="Times New Roman" w:eastAsia="Calibri" w:hAnsi="Times New Roman" w:cs="Times New Roman"/>
          <w:b/>
          <w:snapToGrid w:val="0"/>
          <w:sz w:val="24"/>
          <w:szCs w:val="24"/>
        </w:rPr>
        <w:t>Техническо предложение</w:t>
      </w:r>
      <w:r w:rsidR="00C52AE4" w:rsidRPr="00650130">
        <w:rPr>
          <w:rFonts w:ascii="Times New Roman" w:eastAsia="Calibri" w:hAnsi="Times New Roman" w:cs="Times New Roman"/>
          <w:snapToGrid w:val="0"/>
          <w:sz w:val="24"/>
          <w:szCs w:val="24"/>
        </w:rPr>
        <w:t xml:space="preserve">, по </w:t>
      </w:r>
      <w:r w:rsidR="00C52AE4" w:rsidRPr="00650130">
        <w:rPr>
          <w:rFonts w:ascii="Times New Roman" w:eastAsia="Calibri" w:hAnsi="Times New Roman" w:cs="Times New Roman"/>
          <w:sz w:val="24"/>
          <w:szCs w:val="24"/>
          <w:lang w:eastAsia="bg-BG"/>
        </w:rPr>
        <w:t>Образец (</w:t>
      </w:r>
      <w:r w:rsidR="00691FB7" w:rsidRPr="00650130">
        <w:rPr>
          <w:rFonts w:ascii="Times New Roman" w:eastAsia="Calibri" w:hAnsi="Times New Roman" w:cs="Times New Roman"/>
          <w:sz w:val="24"/>
          <w:szCs w:val="24"/>
          <w:lang w:eastAsia="bg-BG"/>
        </w:rPr>
        <w:t>о</w:t>
      </w:r>
      <w:r w:rsidR="00C52AE4" w:rsidRPr="00650130">
        <w:rPr>
          <w:rFonts w:ascii="Times New Roman" w:eastAsia="Calibri" w:hAnsi="Times New Roman" w:cs="Times New Roman"/>
          <w:sz w:val="24"/>
          <w:szCs w:val="24"/>
          <w:lang w:eastAsia="bg-BG"/>
        </w:rPr>
        <w:t>комплектовано поотделно за всяка обособена позиция</w:t>
      </w:r>
      <w:r w:rsidR="004C5B91" w:rsidRPr="00650130">
        <w:rPr>
          <w:rFonts w:ascii="Times New Roman" w:eastAsia="Calibri" w:hAnsi="Times New Roman" w:cs="Times New Roman"/>
          <w:sz w:val="24"/>
          <w:szCs w:val="24"/>
          <w:lang w:eastAsia="bg-BG"/>
        </w:rPr>
        <w:t xml:space="preserve"> – Приложение 2а/2б</w:t>
      </w:r>
      <w:r w:rsidR="00C52AE4" w:rsidRPr="00650130">
        <w:rPr>
          <w:rFonts w:ascii="Times New Roman" w:eastAsia="Calibri" w:hAnsi="Times New Roman" w:cs="Times New Roman"/>
          <w:sz w:val="24"/>
          <w:szCs w:val="24"/>
          <w:lang w:eastAsia="bg-BG"/>
        </w:rPr>
        <w:t>)</w:t>
      </w:r>
      <w:r w:rsidRPr="00650130">
        <w:rPr>
          <w:rFonts w:ascii="Times New Roman" w:eastAsia="Calibri" w:hAnsi="Times New Roman" w:cs="Times New Roman"/>
          <w:sz w:val="24"/>
          <w:szCs w:val="24"/>
          <w:lang w:eastAsia="bg-BG"/>
        </w:rPr>
        <w:t xml:space="preserve">. </w:t>
      </w:r>
      <w:r w:rsidRPr="00650130">
        <w:rPr>
          <w:rFonts w:ascii="Times New Roman" w:eastAsia="Calibri" w:hAnsi="Times New Roman" w:cs="Times New Roman"/>
          <w:snapToGrid w:val="0"/>
          <w:sz w:val="24"/>
          <w:szCs w:val="24"/>
        </w:rPr>
        <w:t>Ако техническото предложение не съответства напълно на условията, обхвата и изискванията от техническата спецификация по съответната обособена позиция или липсва предложение, участникът се отстранява от участие в процедурата.</w:t>
      </w:r>
    </w:p>
    <w:p w:rsidR="00C52AE4" w:rsidRPr="00650130" w:rsidRDefault="000869D2" w:rsidP="004C5B91">
      <w:pPr>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Times New Roman" w:hAnsi="Times New Roman" w:cs="Times New Roman"/>
          <w:sz w:val="24"/>
          <w:szCs w:val="24"/>
          <w:lang w:eastAsia="bg-BG"/>
        </w:rPr>
        <w:t xml:space="preserve">В техническо предложение участникът заявява своето </w:t>
      </w:r>
      <w:r w:rsidRPr="00650130">
        <w:rPr>
          <w:rFonts w:ascii="Times New Roman" w:eastAsia="Times New Roman" w:hAnsi="Times New Roman" w:cs="Times New Roman"/>
          <w:snapToGrid w:val="0"/>
          <w:sz w:val="24"/>
          <w:szCs w:val="24"/>
        </w:rPr>
        <w:t>съгласие с всички клаузи на приложения проект на договор в документацията за участие, както и декларира срока на валидност на своята оферта.</w:t>
      </w:r>
    </w:p>
    <w:p w:rsidR="00C52AE4" w:rsidRPr="00650130" w:rsidRDefault="00C52AE4" w:rsidP="004C5B91">
      <w:pPr>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2.</w:t>
      </w:r>
      <w:r w:rsidR="000869D2" w:rsidRPr="00650130">
        <w:rPr>
          <w:rFonts w:ascii="Times New Roman" w:eastAsia="Calibri" w:hAnsi="Times New Roman" w:cs="Times New Roman"/>
          <w:snapToGrid w:val="0"/>
          <w:sz w:val="24"/>
          <w:szCs w:val="24"/>
        </w:rPr>
        <w:t>6</w:t>
      </w:r>
      <w:r w:rsidRPr="00650130">
        <w:rPr>
          <w:rFonts w:ascii="Times New Roman" w:eastAsia="Calibri" w:hAnsi="Times New Roman" w:cs="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C52AE4" w:rsidRPr="00650130" w:rsidRDefault="00C52AE4" w:rsidP="004C5B91">
      <w:pPr>
        <w:widowControl w:val="0"/>
        <w:autoSpaceDE w:val="0"/>
        <w:autoSpaceDN w:val="0"/>
        <w:adjustRightInd w:val="0"/>
        <w:spacing w:after="0" w:line="360" w:lineRule="auto"/>
        <w:ind w:firstLine="720"/>
        <w:jc w:val="both"/>
        <w:rPr>
          <w:rFonts w:ascii="Times New Roman" w:eastAsia="Times New Roman" w:hAnsi="Times New Roman" w:cs="Times New Roman"/>
          <w:snapToGrid w:val="0"/>
          <w:sz w:val="24"/>
          <w:szCs w:val="24"/>
          <w:lang w:eastAsia="bg-BG"/>
        </w:rPr>
      </w:pPr>
      <w:r w:rsidRPr="00650130">
        <w:rPr>
          <w:rFonts w:ascii="Times New Roman" w:eastAsia="Times New Roman" w:hAnsi="Times New Roman" w:cs="Times New Roman"/>
          <w:snapToGrid w:val="0"/>
          <w:sz w:val="24"/>
          <w:szCs w:val="24"/>
          <w:lang w:eastAsia="bg-BG"/>
        </w:rPr>
        <w:t>2.5.</w:t>
      </w:r>
      <w:r w:rsidR="00691FB7" w:rsidRPr="00650130">
        <w:rPr>
          <w:rFonts w:ascii="Times New Roman" w:eastAsia="Times New Roman" w:hAnsi="Times New Roman" w:cs="Times New Roman"/>
          <w:snapToGrid w:val="0"/>
          <w:sz w:val="24"/>
          <w:szCs w:val="24"/>
          <w:lang w:eastAsia="bg-BG"/>
        </w:rPr>
        <w:t>2</w:t>
      </w:r>
      <w:r w:rsidRPr="00650130">
        <w:rPr>
          <w:rFonts w:ascii="Times New Roman" w:eastAsia="Times New Roman" w:hAnsi="Times New Roman" w:cs="Times New Roman"/>
          <w:snapToGrid w:val="0"/>
          <w:sz w:val="24"/>
          <w:szCs w:val="24"/>
          <w:lang w:eastAsia="bg-BG"/>
        </w:rPr>
        <w:t xml:space="preserve">. </w:t>
      </w:r>
      <w:r w:rsidRPr="00650130">
        <w:rPr>
          <w:rFonts w:ascii="Times New Roman" w:eastAsia="Times New Roman" w:hAnsi="Times New Roman" w:cs="Times New Roman"/>
          <w:b/>
          <w:snapToGrid w:val="0"/>
          <w:sz w:val="24"/>
          <w:szCs w:val="24"/>
          <w:lang w:eastAsia="bg-BG"/>
        </w:rPr>
        <w:t>По обособена позиция № 1</w:t>
      </w:r>
      <w:r w:rsidRPr="00650130">
        <w:rPr>
          <w:rFonts w:ascii="Times New Roman" w:eastAsia="Times New Roman" w:hAnsi="Times New Roman" w:cs="Times New Roman"/>
          <w:snapToGrid w:val="0"/>
          <w:sz w:val="24"/>
          <w:szCs w:val="24"/>
          <w:lang w:eastAsia="bg-BG"/>
        </w:rPr>
        <w:t xml:space="preserve"> – </w:t>
      </w:r>
      <w:r w:rsidR="000869D2" w:rsidRPr="00650130">
        <w:rPr>
          <w:rFonts w:ascii="Times New Roman" w:eastAsia="Times New Roman" w:hAnsi="Times New Roman" w:cs="Times New Roman"/>
          <w:sz w:val="24"/>
          <w:szCs w:val="24"/>
          <w:lang w:eastAsia="bg-BG"/>
        </w:rPr>
        <w:t>В случай, че предлаганите резервни части не са оригинални, участниците представят документ (оторизационно писмо, сертификат или друго, издаден от производителя или от официален негов представител) за съвместимост с банкнотообработващите системи CPS 1500 5/4</w:t>
      </w:r>
      <w:r w:rsidRPr="00650130">
        <w:rPr>
          <w:rFonts w:ascii="Times New Roman" w:eastAsia="Times New Roman" w:hAnsi="Times New Roman" w:cs="Times New Roman"/>
          <w:sz w:val="24"/>
          <w:szCs w:val="24"/>
          <w:lang w:eastAsia="bg-BG"/>
        </w:rPr>
        <w:t>.</w:t>
      </w:r>
    </w:p>
    <w:p w:rsidR="00C52AE4" w:rsidRPr="00650130" w:rsidRDefault="00C52AE4" w:rsidP="004C5B91">
      <w:pPr>
        <w:spacing w:after="0" w:line="360" w:lineRule="auto"/>
        <w:ind w:firstLine="1260"/>
        <w:jc w:val="both"/>
        <w:rPr>
          <w:rFonts w:ascii="Times New Roman" w:eastAsia="Calibri" w:hAnsi="Times New Roman" w:cs="Times New Roman"/>
          <w:snapToGrid w:val="0"/>
          <w:sz w:val="24"/>
          <w:szCs w:val="24"/>
        </w:rPr>
      </w:pPr>
      <w:r w:rsidRPr="00650130">
        <w:rPr>
          <w:rFonts w:ascii="Times New Roman" w:eastAsia="Times New Roman" w:hAnsi="Times New Roman" w:cs="Times New Roman"/>
          <w:b/>
          <w:snapToGrid w:val="0"/>
          <w:sz w:val="24"/>
          <w:szCs w:val="24"/>
        </w:rPr>
        <w:t>По обособена позиция № 2</w:t>
      </w:r>
      <w:r w:rsidRPr="00650130">
        <w:rPr>
          <w:rFonts w:ascii="Times New Roman" w:eastAsia="Times New Roman" w:hAnsi="Times New Roman" w:cs="Times New Roman"/>
          <w:snapToGrid w:val="0"/>
          <w:sz w:val="24"/>
          <w:szCs w:val="24"/>
        </w:rPr>
        <w:t xml:space="preserve"> - Документ с актуална дата, удостоверяващ, че </w:t>
      </w:r>
      <w:r w:rsidRPr="00650130">
        <w:rPr>
          <w:rFonts w:ascii="Times New Roman" w:eastAsia="Calibri" w:hAnsi="Times New Roman" w:cs="Times New Roman"/>
          <w:sz w:val="24"/>
          <w:szCs w:val="24"/>
        </w:rPr>
        <w:t xml:space="preserve">участника е оторизирани от страна на производителя на </w:t>
      </w:r>
      <w:r w:rsidRPr="00650130">
        <w:rPr>
          <w:rFonts w:ascii="Times New Roman" w:eastAsia="Calibri" w:hAnsi="Times New Roman" w:cs="Times New Roman"/>
          <w:bCs/>
          <w:sz w:val="24"/>
          <w:szCs w:val="24"/>
        </w:rPr>
        <w:t>банкнотообработващи</w:t>
      </w:r>
      <w:r w:rsidRPr="00650130">
        <w:rPr>
          <w:rFonts w:ascii="Times New Roman" w:eastAsia="Calibri" w:hAnsi="Times New Roman" w:cs="Times New Roman"/>
          <w:sz w:val="24"/>
          <w:szCs w:val="24"/>
        </w:rPr>
        <w:t xml:space="preserve"> системи и спомагателното оборудване към тях да извършва </w:t>
      </w:r>
      <w:r w:rsidR="004C5B91" w:rsidRPr="00650130">
        <w:rPr>
          <w:rFonts w:ascii="Times New Roman" w:eastAsia="Calibri" w:hAnsi="Times New Roman" w:cs="Times New Roman"/>
          <w:sz w:val="24"/>
          <w:szCs w:val="24"/>
        </w:rPr>
        <w:t xml:space="preserve">профилактика, </w:t>
      </w:r>
      <w:r w:rsidRPr="00650130">
        <w:rPr>
          <w:rFonts w:ascii="Times New Roman" w:eastAsia="Calibri" w:hAnsi="Times New Roman" w:cs="Times New Roman"/>
          <w:sz w:val="24"/>
          <w:szCs w:val="24"/>
        </w:rPr>
        <w:t xml:space="preserve">ремонтни и други дейности за този вид системи и </w:t>
      </w:r>
      <w:r w:rsidR="000869D2" w:rsidRPr="00650130">
        <w:rPr>
          <w:rFonts w:ascii="Times New Roman" w:eastAsia="Times New Roman" w:hAnsi="Times New Roman" w:cs="Times New Roman"/>
          <w:sz w:val="24"/>
          <w:szCs w:val="24"/>
          <w:lang w:eastAsia="bg-BG"/>
        </w:rPr>
        <w:t>спомагателното оборудване към тях</w:t>
      </w:r>
      <w:r w:rsidRPr="00650130">
        <w:rPr>
          <w:rFonts w:ascii="Times New Roman" w:eastAsia="Calibri" w:hAnsi="Times New Roman" w:cs="Times New Roman"/>
          <w:sz w:val="24"/>
          <w:szCs w:val="24"/>
        </w:rPr>
        <w:t>.</w:t>
      </w:r>
    </w:p>
    <w:p w:rsidR="00C52AE4" w:rsidRPr="00650130" w:rsidRDefault="00C52AE4" w:rsidP="004C5B91">
      <w:pPr>
        <w:tabs>
          <w:tab w:val="left" w:pos="0"/>
          <w:tab w:val="left" w:pos="3240"/>
          <w:tab w:val="left" w:pos="8789"/>
          <w:tab w:val="left" w:pos="8931"/>
          <w:tab w:val="left" w:pos="9356"/>
        </w:tabs>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2.6</w:t>
      </w:r>
      <w:r w:rsidR="00691FB7" w:rsidRPr="00650130">
        <w:rPr>
          <w:rFonts w:ascii="Times New Roman" w:eastAsia="Calibri" w:hAnsi="Times New Roman" w:cs="Times New Roman"/>
          <w:snapToGrid w:val="0"/>
          <w:sz w:val="24"/>
          <w:szCs w:val="24"/>
        </w:rPr>
        <w:t>.</w:t>
      </w:r>
      <w:r w:rsidRPr="00650130">
        <w:rPr>
          <w:rFonts w:ascii="Times New Roman" w:eastAsia="Calibri" w:hAnsi="Times New Roman" w:cs="Times New Roman"/>
          <w:snapToGrid w:val="0"/>
          <w:sz w:val="24"/>
          <w:szCs w:val="24"/>
        </w:rPr>
        <w:t xml:space="preserve"> </w:t>
      </w:r>
      <w:r w:rsidRPr="00650130">
        <w:rPr>
          <w:rFonts w:ascii="Times New Roman" w:eastAsia="Calibri" w:hAnsi="Times New Roman" w:cs="Times New Roman"/>
          <w:b/>
          <w:snapToGrid w:val="0"/>
          <w:sz w:val="24"/>
          <w:szCs w:val="24"/>
        </w:rPr>
        <w:t>Ценово предложение</w:t>
      </w:r>
      <w:r w:rsidRPr="00650130">
        <w:rPr>
          <w:rFonts w:ascii="Times New Roman" w:eastAsia="Calibri" w:hAnsi="Times New Roman" w:cs="Times New Roman"/>
          <w:snapToGrid w:val="0"/>
          <w:sz w:val="24"/>
          <w:szCs w:val="24"/>
        </w:rPr>
        <w:t xml:space="preserve"> </w:t>
      </w:r>
      <w:r w:rsidR="000869D2" w:rsidRPr="00650130">
        <w:rPr>
          <w:rFonts w:ascii="Times New Roman" w:eastAsia="Calibri" w:hAnsi="Times New Roman" w:cs="Times New Roman"/>
          <w:snapToGrid w:val="0"/>
          <w:sz w:val="24"/>
          <w:szCs w:val="24"/>
        </w:rPr>
        <w:t>изготвено по образеца, приложен в документацията</w:t>
      </w:r>
      <w:r w:rsidR="004C5B91" w:rsidRPr="00650130">
        <w:rPr>
          <w:rFonts w:ascii="Times New Roman" w:eastAsia="Calibri" w:hAnsi="Times New Roman" w:cs="Times New Roman"/>
          <w:snapToGrid w:val="0"/>
          <w:sz w:val="24"/>
          <w:szCs w:val="24"/>
        </w:rPr>
        <w:t xml:space="preserve"> – Приложение № 3а/3б</w:t>
      </w:r>
      <w:r w:rsidR="000869D2" w:rsidRPr="00650130">
        <w:rPr>
          <w:rFonts w:ascii="Times New Roman" w:eastAsia="Calibri" w:hAnsi="Times New Roman" w:cs="Times New Roman"/>
          <w:snapToGrid w:val="0"/>
          <w:sz w:val="24"/>
          <w:szCs w:val="24"/>
        </w:rPr>
        <w:t>. На основание чл. 47, ал. 6 от ППЗОП, ценовите предложения могат да не се представят в запечатан плик</w:t>
      </w:r>
      <w:r w:rsidRPr="00650130">
        <w:rPr>
          <w:rFonts w:ascii="Times New Roman" w:eastAsia="Calibri" w:hAnsi="Times New Roman" w:cs="Times New Roman"/>
          <w:snapToGrid w:val="0"/>
          <w:sz w:val="24"/>
          <w:szCs w:val="24"/>
        </w:rPr>
        <w:t>.</w:t>
      </w:r>
    </w:p>
    <w:p w:rsidR="00C52AE4" w:rsidRPr="00650130" w:rsidRDefault="00C52AE4" w:rsidP="004C5B91">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cs="Times New Roman"/>
          <w:snapToGrid w:val="0"/>
          <w:sz w:val="24"/>
          <w:szCs w:val="24"/>
          <w:highlight w:val="yellow"/>
        </w:rPr>
      </w:pPr>
      <w:r w:rsidRPr="00650130">
        <w:rPr>
          <w:rFonts w:ascii="Times New Roman" w:eastAsia="Calibri" w:hAnsi="Times New Roman" w:cs="Times New Roman"/>
          <w:snapToGrid w:val="0"/>
          <w:sz w:val="24"/>
          <w:szCs w:val="24"/>
        </w:rPr>
        <w:t>За всяка обособена/и позиция/ии, за която/ които участникът подава документи, се представя отделно ценово предложение (независимо че участникът може да подава документи и по двете обособени позиции).</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sz w:val="24"/>
          <w:szCs w:val="24"/>
          <w:lang w:eastAsia="bg-BG"/>
        </w:rPr>
        <w:t>Всички образци</w:t>
      </w:r>
      <w:r w:rsidRPr="00650130">
        <w:rPr>
          <w:rFonts w:ascii="Times New Roman" w:eastAsia="Times New Roman" w:hAnsi="Times New Roman" w:cs="Times New Roman"/>
          <w:sz w:val="24"/>
          <w:szCs w:val="24"/>
          <w:lang w:eastAsia="bg-BG"/>
        </w:rPr>
        <w:t xml:space="preserve">, които се съдържат в документацията за възлагане на обществената поръчка </w:t>
      </w:r>
      <w:r w:rsidRPr="00650130">
        <w:rPr>
          <w:rFonts w:ascii="Times New Roman" w:eastAsia="Times New Roman" w:hAnsi="Times New Roman" w:cs="Times New Roman"/>
          <w:b/>
          <w:sz w:val="24"/>
          <w:szCs w:val="24"/>
          <w:lang w:eastAsia="bg-BG"/>
        </w:rPr>
        <w:t>са задължителни и участниците следва да се придържат точно към тях</w:t>
      </w:r>
      <w:r w:rsidRPr="00650130">
        <w:rPr>
          <w:rFonts w:ascii="Times New Roman" w:eastAsia="Times New Roman" w:hAnsi="Times New Roman" w:cs="Times New Roman"/>
          <w:sz w:val="24"/>
          <w:szCs w:val="24"/>
          <w:lang w:eastAsia="bg-BG"/>
        </w:rPr>
        <w:t xml:space="preserve"> при изготвяне на офертата си.</w:t>
      </w:r>
    </w:p>
    <w:p w:rsidR="00C52AE4" w:rsidRPr="00650130" w:rsidRDefault="00C52AE4" w:rsidP="004C5B91">
      <w:pPr>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z w:val="24"/>
          <w:szCs w:val="24"/>
          <w:lang w:eastAsia="bg-BG"/>
        </w:rPr>
        <w:lastRenderedPageBreak/>
        <w:t>Документите в офертата се подписват на всеки лист от</w:t>
      </w:r>
      <w:r w:rsidRPr="00650130">
        <w:rPr>
          <w:rFonts w:ascii="Times New Roman" w:eastAsia="Times New Roman" w:hAnsi="Times New Roman" w:cs="Times New Roman"/>
          <w:b/>
          <w:snapToGrid w:val="0"/>
          <w:sz w:val="24"/>
          <w:szCs w:val="24"/>
        </w:rPr>
        <w:t xml:space="preserve"> лица с представителни и управителни функции</w:t>
      </w:r>
      <w:r w:rsidRPr="00650130">
        <w:rPr>
          <w:rFonts w:ascii="Times New Roman" w:eastAsia="Times New Roman" w:hAnsi="Times New Roman" w:cs="Times New Roman"/>
          <w:snapToGrid w:val="0"/>
          <w:sz w:val="24"/>
          <w:szCs w:val="24"/>
        </w:rPr>
        <w:t>,</w:t>
      </w:r>
      <w:r w:rsidRPr="00650130">
        <w:rPr>
          <w:rFonts w:ascii="Times New Roman" w:eastAsia="Times New Roman" w:hAnsi="Times New Roman" w:cs="Times New Roman"/>
          <w:b/>
          <w:snapToGrid w:val="0"/>
          <w:sz w:val="24"/>
          <w:szCs w:val="24"/>
        </w:rPr>
        <w:t xml:space="preserve"> </w:t>
      </w:r>
      <w:r w:rsidRPr="00650130">
        <w:rPr>
          <w:rFonts w:ascii="Times New Roman" w:eastAsia="Times New Roman" w:hAnsi="Times New Roman" w:cs="Times New Roman"/>
          <w:snapToGrid w:val="0"/>
          <w:sz w:val="24"/>
          <w:szCs w:val="24"/>
        </w:rPr>
        <w:t xml:space="preserve">посочени в Търговския регистър или </w:t>
      </w:r>
      <w:r w:rsidRPr="00650130">
        <w:rPr>
          <w:rFonts w:ascii="Times New Roman" w:eastAsia="Times New Roman" w:hAnsi="Times New Roman" w:cs="Times New Roman"/>
          <w:b/>
          <w:snapToGrid w:val="0"/>
          <w:sz w:val="24"/>
          <w:szCs w:val="24"/>
        </w:rPr>
        <w:t>упълномощени за това лица</w:t>
      </w:r>
      <w:r w:rsidRPr="00650130">
        <w:rPr>
          <w:rFonts w:ascii="Times New Roman" w:eastAsia="Times New Roman" w:hAnsi="Times New Roman" w:cs="Times New Roman"/>
          <w:snapToGrid w:val="0"/>
          <w:sz w:val="24"/>
          <w:szCs w:val="24"/>
        </w:rPr>
        <w:t>. В този случай се изисква да се представи съответното пълномощно.</w:t>
      </w:r>
    </w:p>
    <w:p w:rsidR="00C52AE4" w:rsidRPr="00650130" w:rsidRDefault="00C52AE4" w:rsidP="004C5B91">
      <w:pPr>
        <w:spacing w:after="0" w:line="360" w:lineRule="auto"/>
        <w:ind w:firstLine="709"/>
        <w:jc w:val="both"/>
        <w:rPr>
          <w:rFonts w:ascii="Times New Roman" w:eastAsia="Calibri" w:hAnsi="Times New Roman" w:cs="Times New Roman"/>
          <w:snapToGrid w:val="0"/>
          <w:sz w:val="24"/>
          <w:szCs w:val="24"/>
        </w:rPr>
      </w:pPr>
      <w:r w:rsidRPr="00650130">
        <w:rPr>
          <w:rFonts w:ascii="Times New Roman" w:eastAsia="Calibri" w:hAnsi="Times New Roman" w:cs="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w:t>
      </w:r>
      <w:r w:rsidR="00691FB7" w:rsidRPr="00650130">
        <w:rPr>
          <w:rFonts w:ascii="Times New Roman" w:eastAsia="Calibri" w:hAnsi="Times New Roman" w:cs="Times New Roman"/>
          <w:snapToGrid w:val="0"/>
          <w:sz w:val="24"/>
          <w:szCs w:val="24"/>
        </w:rPr>
        <w:t>“</w:t>
      </w:r>
      <w:r w:rsidRPr="00650130">
        <w:rPr>
          <w:rFonts w:ascii="Times New Roman" w:eastAsia="Calibri" w:hAnsi="Times New Roman" w:cs="Times New Roman"/>
          <w:snapToGrid w:val="0"/>
          <w:sz w:val="24"/>
          <w:szCs w:val="24"/>
        </w:rPr>
        <w:t>, подпис и печат на участника.</w:t>
      </w:r>
    </w:p>
    <w:p w:rsidR="00C52AE4" w:rsidRPr="00650130" w:rsidRDefault="00C52AE4" w:rsidP="004C5B91">
      <w:pPr>
        <w:spacing w:after="0" w:line="360" w:lineRule="auto"/>
        <w:ind w:firstLine="709"/>
        <w:jc w:val="both"/>
        <w:rPr>
          <w:rFonts w:ascii="Times New Roman" w:eastAsia="Calibri" w:hAnsi="Times New Roman" w:cs="Times New Roman"/>
          <w:b/>
          <w:snapToGrid w:val="0"/>
          <w:sz w:val="24"/>
          <w:szCs w:val="24"/>
        </w:rPr>
      </w:pPr>
    </w:p>
    <w:p w:rsidR="00C52AE4" w:rsidRPr="00650130" w:rsidRDefault="00C52AE4" w:rsidP="004C5B91">
      <w:pPr>
        <w:spacing w:after="0" w:line="360" w:lineRule="auto"/>
        <w:ind w:firstLine="709"/>
        <w:jc w:val="both"/>
        <w:rPr>
          <w:rFonts w:ascii="Times New Roman" w:eastAsia="Calibri" w:hAnsi="Times New Roman" w:cs="Times New Roman"/>
          <w:b/>
          <w:snapToGrid w:val="0"/>
          <w:sz w:val="24"/>
          <w:szCs w:val="24"/>
        </w:rPr>
      </w:pPr>
      <w:r w:rsidRPr="00650130">
        <w:rPr>
          <w:rFonts w:ascii="Times New Roman" w:eastAsia="Calibri" w:hAnsi="Times New Roman" w:cs="Times New Roman"/>
          <w:b/>
          <w:snapToGrid w:val="0"/>
          <w:sz w:val="24"/>
          <w:szCs w:val="24"/>
        </w:rPr>
        <w:t>VI. РАЗГЛЕЖДАНЕ, ОЦЕНКА И КЛАСИРАНЕ НА ОФЕРТИТЕ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Комисия,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rsidR="002D7FC7" w:rsidRPr="00650130" w:rsidRDefault="002D7FC7" w:rsidP="004C5B91">
      <w:pPr>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Times New Roman" w:hAnsi="Times New Roman" w:cs="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На основание чл. 181,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В тази връзка, на основание чл. 61 от ППЗОП, действията на комисията се извършват в следната последователност:</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 xml:space="preserve">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w:t>
      </w:r>
      <w:r w:rsidRPr="00650130">
        <w:rPr>
          <w:rFonts w:ascii="Times New Roman" w:eastAsia="Calibri" w:hAnsi="Times New Roman" w:cs="Times New Roman"/>
          <w:sz w:val="24"/>
          <w:szCs w:val="24"/>
          <w:lang w:eastAsia="bg-BG"/>
        </w:rPr>
        <w:lastRenderedPageBreak/>
        <w:t>представители на другите участници да ги подпише, с което публичната част от заседанието приключва;</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650130">
        <w:rPr>
          <w:rFonts w:ascii="Times New Roman" w:eastAsia="Calibri" w:hAnsi="Times New Roman" w:cs="Times New Roman"/>
          <w:sz w:val="24"/>
          <w:szCs w:val="24"/>
          <w:lang w:eastAsia="bg-BG"/>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Подробната писмена обосновка се представя от участника в 5-дневен срок от получаване на искането.</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След това комисията пристъпва към оценяване по избрания критерий за възлагане.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4. комисията разглежда документите, свързани с личното състояние и критериите за подбор, на участниците в низходящ ред спрямо получените оценки;</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6. в срок до 5 работни дни от получаването на уведомлението участникът може да представи нов еЕЕДОП и/или други документи, които съдържат променена и/или допълнена информация;</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rsidR="002D7FC7" w:rsidRPr="00650130" w:rsidRDefault="002D7FC7" w:rsidP="004C5B91">
      <w:pPr>
        <w:spacing w:after="0" w:line="360" w:lineRule="auto"/>
        <w:ind w:firstLine="709"/>
        <w:jc w:val="both"/>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lastRenderedPageBreak/>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2D7FC7" w:rsidRPr="00650130" w:rsidRDefault="002D7FC7" w:rsidP="004C5B91">
      <w:pPr>
        <w:spacing w:after="0" w:line="360" w:lineRule="auto"/>
        <w:ind w:firstLine="709"/>
        <w:rPr>
          <w:rFonts w:ascii="Times New Roman" w:eastAsia="Calibri" w:hAnsi="Times New Roman" w:cs="Times New Roman"/>
          <w:b/>
          <w:bCs/>
          <w:sz w:val="24"/>
          <w:szCs w:val="24"/>
          <w:lang w:eastAsia="bg-BG"/>
        </w:rPr>
      </w:pPr>
      <w:r w:rsidRPr="00650130">
        <w:rPr>
          <w:rFonts w:ascii="Times New Roman" w:eastAsia="Calibri" w:hAnsi="Times New Roman" w:cs="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CB3BBC" w:rsidRPr="00650130" w:rsidRDefault="002D7FC7" w:rsidP="004C5B91">
      <w:pPr>
        <w:tabs>
          <w:tab w:val="left" w:pos="-4860"/>
        </w:tabs>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rsidR="00C52AE4" w:rsidRPr="00650130" w:rsidRDefault="00C52AE4" w:rsidP="004C5B91">
      <w:pPr>
        <w:tabs>
          <w:tab w:val="left" w:pos="-4860"/>
        </w:tabs>
        <w:spacing w:after="0" w:line="360" w:lineRule="auto"/>
        <w:ind w:firstLine="709"/>
        <w:jc w:val="both"/>
        <w:rPr>
          <w:rFonts w:ascii="Times New Roman" w:eastAsia="Calibri" w:hAnsi="Times New Roman" w:cs="Times New Roman"/>
          <w:sz w:val="24"/>
          <w:szCs w:val="24"/>
          <w:lang w:eastAsia="bg-BG"/>
        </w:rPr>
      </w:pPr>
    </w:p>
    <w:p w:rsidR="00C52AE4" w:rsidRPr="00650130" w:rsidRDefault="00C52AE4" w:rsidP="004C5B91">
      <w:pPr>
        <w:tabs>
          <w:tab w:val="left" w:pos="-4860"/>
        </w:tabs>
        <w:spacing w:after="0" w:line="360" w:lineRule="auto"/>
        <w:ind w:firstLine="709"/>
        <w:jc w:val="both"/>
        <w:rPr>
          <w:rFonts w:ascii="Times New Roman" w:eastAsia="Times New Roman" w:hAnsi="Times New Roman" w:cs="Times New Roman"/>
          <w:b/>
          <w:sz w:val="24"/>
          <w:szCs w:val="24"/>
          <w:lang w:eastAsia="bg-BG"/>
        </w:rPr>
      </w:pPr>
      <w:r w:rsidRPr="00650130">
        <w:rPr>
          <w:rFonts w:ascii="Times New Roman" w:eastAsia="Calibri" w:hAnsi="Times New Roman" w:cs="Times New Roman"/>
          <w:b/>
          <w:snapToGrid w:val="0"/>
          <w:sz w:val="24"/>
          <w:szCs w:val="24"/>
        </w:rPr>
        <w:t>VII. ОПРЕДЕЛЯНЕ НА ИЗПЪЛНИТЕЛ</w:t>
      </w:r>
    </w:p>
    <w:p w:rsidR="002D7FC7" w:rsidRPr="00650130" w:rsidRDefault="002D7FC7" w:rsidP="004C5B91">
      <w:pPr>
        <w:pStyle w:val="ListParagraph"/>
        <w:numPr>
          <w:ilvl w:val="0"/>
          <w:numId w:val="9"/>
        </w:numPr>
        <w:tabs>
          <w:tab w:val="left" w:pos="709"/>
          <w:tab w:val="left" w:pos="993"/>
        </w:tabs>
        <w:spacing w:after="0" w:line="360" w:lineRule="auto"/>
        <w:ind w:left="0"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На основание чл. 181, ал. 5 от ЗОП, Възложителят утвърждава протокола по реда на чл. 106 от ЗОП.</w:t>
      </w:r>
    </w:p>
    <w:p w:rsidR="002D7FC7" w:rsidRPr="00650130" w:rsidRDefault="002D7FC7" w:rsidP="004C5B91">
      <w:pPr>
        <w:pStyle w:val="ListParagraph"/>
        <w:numPr>
          <w:ilvl w:val="0"/>
          <w:numId w:val="9"/>
        </w:numPr>
        <w:tabs>
          <w:tab w:val="left" w:pos="709"/>
          <w:tab w:val="left" w:pos="993"/>
        </w:tabs>
        <w:spacing w:after="0" w:line="360" w:lineRule="auto"/>
        <w:ind w:left="0"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В 10-дневен срок от утвърждаване на протокола възложителят издава решение за определяне на изпълнител или за прекратяване на процедурата.</w:t>
      </w:r>
    </w:p>
    <w:p w:rsidR="002D7FC7" w:rsidRPr="00650130" w:rsidRDefault="002D7FC7" w:rsidP="004C5B91">
      <w:pPr>
        <w:pStyle w:val="ListParagraph"/>
        <w:numPr>
          <w:ilvl w:val="0"/>
          <w:numId w:val="9"/>
        </w:numPr>
        <w:tabs>
          <w:tab w:val="left" w:pos="709"/>
          <w:tab w:val="left" w:pos="993"/>
        </w:tabs>
        <w:spacing w:after="0" w:line="360" w:lineRule="auto"/>
        <w:ind w:left="0"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Връчването на решението на Възложителя се извършва по реда на чл. 43 от ЗОП.</w:t>
      </w:r>
    </w:p>
    <w:p w:rsidR="00C52AE4" w:rsidRPr="00650130" w:rsidRDefault="00C52AE4" w:rsidP="004C5B91">
      <w:pPr>
        <w:tabs>
          <w:tab w:val="left" w:pos="1134"/>
        </w:tabs>
        <w:spacing w:after="0" w:line="360" w:lineRule="auto"/>
        <w:ind w:firstLine="709"/>
        <w:jc w:val="both"/>
        <w:rPr>
          <w:rFonts w:ascii="Times New Roman" w:eastAsia="Calibri" w:hAnsi="Times New Roman" w:cs="Times New Roman"/>
          <w:b/>
          <w:sz w:val="24"/>
          <w:szCs w:val="24"/>
          <w:lang w:eastAsia="bg-BG"/>
        </w:rPr>
      </w:pP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b/>
          <w:sz w:val="24"/>
          <w:szCs w:val="24"/>
          <w:lang w:eastAsia="bg-BG"/>
        </w:rPr>
      </w:pPr>
      <w:r w:rsidRPr="00650130">
        <w:rPr>
          <w:rFonts w:ascii="Times New Roman" w:eastAsia="Calibri" w:hAnsi="Times New Roman" w:cs="Times New Roman"/>
          <w:b/>
          <w:snapToGrid w:val="0"/>
          <w:sz w:val="24"/>
          <w:szCs w:val="24"/>
        </w:rPr>
        <w:t>VIII. ПРЕКРАТЯВАНЕ НА ПРОЦЕДУРАТА</w:t>
      </w:r>
    </w:p>
    <w:p w:rsidR="00C52AE4" w:rsidRPr="00650130" w:rsidRDefault="00C52AE4" w:rsidP="004C5B91">
      <w:pPr>
        <w:tabs>
          <w:tab w:val="left" w:pos="815"/>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1.</w:t>
      </w:r>
      <w:r w:rsidRPr="00650130">
        <w:rPr>
          <w:rFonts w:ascii="Times New Roman" w:eastAsia="Times New Roman" w:hAnsi="Times New Roman" w:cs="Times New Roman"/>
          <w:sz w:val="24"/>
          <w:szCs w:val="24"/>
          <w:lang w:eastAsia="bg-BG"/>
        </w:rPr>
        <w:t xml:space="preserve"> 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съответната обособена позиция. </w:t>
      </w:r>
    </w:p>
    <w:p w:rsidR="00C52AE4" w:rsidRPr="00650130" w:rsidRDefault="00C52AE4" w:rsidP="004C5B91">
      <w:pPr>
        <w:tabs>
          <w:tab w:val="left" w:pos="815"/>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2.</w:t>
      </w:r>
      <w:r w:rsidRPr="00650130">
        <w:rPr>
          <w:rFonts w:ascii="Times New Roman" w:eastAsia="Times New Roman" w:hAnsi="Times New Roman" w:cs="Times New Roman"/>
          <w:sz w:val="24"/>
          <w:szCs w:val="24"/>
          <w:lang w:eastAsia="bg-BG"/>
        </w:rPr>
        <w:t xml:space="preserve"> Възложителят може да прекрати процедурата с мотивирано решение в случаите посочени в чл. 110, ал. 2 от ЗОП за цялата поръчка или по отношение на</w:t>
      </w:r>
      <w:r w:rsidR="009A35CE" w:rsidRPr="00650130">
        <w:rPr>
          <w:rFonts w:ascii="Times New Roman" w:eastAsia="Times New Roman" w:hAnsi="Times New Roman" w:cs="Times New Roman"/>
          <w:sz w:val="24"/>
          <w:szCs w:val="24"/>
          <w:lang w:eastAsia="bg-BG"/>
        </w:rPr>
        <w:t xml:space="preserve"> съответната обособена позиция.</w:t>
      </w:r>
    </w:p>
    <w:p w:rsidR="00C52AE4" w:rsidRPr="00650130" w:rsidRDefault="00C52AE4" w:rsidP="004C5B91">
      <w:pPr>
        <w:tabs>
          <w:tab w:val="left" w:pos="709"/>
        </w:tabs>
        <w:spacing w:after="0" w:line="360" w:lineRule="auto"/>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ab/>
      </w:r>
      <w:r w:rsidRPr="00650130">
        <w:rPr>
          <w:rFonts w:ascii="Times New Roman" w:eastAsia="Times New Roman" w:hAnsi="Times New Roman" w:cs="Times New Roman"/>
          <w:b/>
          <w:sz w:val="24"/>
          <w:szCs w:val="24"/>
          <w:lang w:eastAsia="bg-BG"/>
        </w:rPr>
        <w:t>3.</w:t>
      </w:r>
      <w:r w:rsidRPr="00650130">
        <w:rPr>
          <w:rFonts w:ascii="Times New Roman" w:eastAsia="Times New Roman" w:hAnsi="Times New Roman" w:cs="Times New Roman"/>
          <w:sz w:val="24"/>
          <w:szCs w:val="24"/>
          <w:lang w:eastAsia="bg-BG"/>
        </w:rPr>
        <w:t xml:space="preserve"> Възложителят изпраща на участниците решението за прекратяване на процедурата в 3-дневен срок от издаването му.</w:t>
      </w:r>
    </w:p>
    <w:p w:rsidR="00C52AE4" w:rsidRPr="00650130" w:rsidRDefault="00C52AE4"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p>
    <w:p w:rsidR="00C52AE4" w:rsidRPr="00650130" w:rsidRDefault="00C52AE4" w:rsidP="004C5B91">
      <w:pPr>
        <w:keepNext/>
        <w:keepLines/>
        <w:spacing w:after="0" w:line="360" w:lineRule="auto"/>
        <w:ind w:firstLine="709"/>
        <w:outlineLvl w:val="0"/>
        <w:rPr>
          <w:rFonts w:ascii="Times New Roman" w:eastAsia="Times New Roman" w:hAnsi="Times New Roman" w:cs="Times New Roman"/>
          <w:b/>
          <w:bCs/>
          <w:sz w:val="24"/>
          <w:szCs w:val="24"/>
          <w:lang w:eastAsia="bg-BG"/>
        </w:rPr>
      </w:pPr>
      <w:r w:rsidRPr="00650130">
        <w:rPr>
          <w:rFonts w:ascii="Times New Roman" w:eastAsia="Times New Roman" w:hAnsi="Times New Roman" w:cs="Times New Roman"/>
          <w:b/>
          <w:bCs/>
          <w:sz w:val="24"/>
          <w:szCs w:val="24"/>
          <w:lang w:eastAsia="bg-BG"/>
        </w:rPr>
        <w:t>IX. ГАРАНЦИЯ ЗА ИЗПЪЛНЕНИЕ НА ДОГОВОРА</w:t>
      </w:r>
    </w:p>
    <w:p w:rsidR="00C52AE4" w:rsidRPr="00650130" w:rsidRDefault="00C52AE4" w:rsidP="004C5B91">
      <w:pPr>
        <w:tabs>
          <w:tab w:val="left" w:pos="720"/>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ab/>
        <w:t>1.</w:t>
      </w:r>
      <w:r w:rsidRPr="00650130">
        <w:rPr>
          <w:rFonts w:ascii="Times New Roman" w:eastAsia="Times New Roman" w:hAnsi="Times New Roman" w:cs="Times New Roman"/>
          <w:sz w:val="24"/>
          <w:szCs w:val="24"/>
          <w:lang w:eastAsia="bg-BG"/>
        </w:rPr>
        <w:t xml:space="preserve"> Гаранцията за изпълнение на даден договор се представя от участника, определен за изпълнител на поръчката по съответната обособена позиция, при подписване на съответния договор, в размер на 5 % </w:t>
      </w:r>
      <w:r w:rsidR="00E8471F" w:rsidRPr="00650130">
        <w:rPr>
          <w:rFonts w:ascii="Times New Roman" w:eastAsia="Times New Roman" w:hAnsi="Times New Roman" w:cs="Times New Roman"/>
          <w:sz w:val="24"/>
          <w:szCs w:val="24"/>
          <w:lang w:eastAsia="bg-BG"/>
        </w:rPr>
        <w:t xml:space="preserve">(пет процента) </w:t>
      </w:r>
      <w:r w:rsidRPr="00650130">
        <w:rPr>
          <w:rFonts w:ascii="Times New Roman" w:eastAsia="Times New Roman" w:hAnsi="Times New Roman" w:cs="Times New Roman"/>
          <w:sz w:val="24"/>
          <w:szCs w:val="24"/>
          <w:lang w:eastAsia="bg-BG"/>
        </w:rPr>
        <w:t xml:space="preserve">от сумата, посочена в чл. 3, ал. 1 от проекта на договор за обособена позиция № 1, за която участникът е избран за изпълнител и </w:t>
      </w:r>
      <w:r w:rsidRPr="00650130">
        <w:rPr>
          <w:rFonts w:ascii="Times New Roman" w:eastAsia="Times New Roman" w:hAnsi="Times New Roman" w:cs="Times New Roman"/>
          <w:sz w:val="24"/>
          <w:szCs w:val="24"/>
          <w:lang w:eastAsia="bg-BG"/>
        </w:rPr>
        <w:lastRenderedPageBreak/>
        <w:t xml:space="preserve">5 % </w:t>
      </w:r>
      <w:r w:rsidR="00E8471F" w:rsidRPr="00650130">
        <w:rPr>
          <w:rFonts w:ascii="Times New Roman" w:eastAsia="Times New Roman" w:hAnsi="Times New Roman" w:cs="Times New Roman"/>
          <w:sz w:val="24"/>
          <w:szCs w:val="24"/>
          <w:lang w:eastAsia="bg-BG"/>
        </w:rPr>
        <w:t xml:space="preserve">(пет процента) </w:t>
      </w:r>
      <w:r w:rsidRPr="00650130">
        <w:rPr>
          <w:rFonts w:ascii="Times New Roman" w:eastAsia="Times New Roman" w:hAnsi="Times New Roman" w:cs="Times New Roman"/>
          <w:sz w:val="24"/>
          <w:szCs w:val="24"/>
          <w:lang w:eastAsia="bg-BG"/>
        </w:rPr>
        <w:t xml:space="preserve">от </w:t>
      </w:r>
      <w:r w:rsidRPr="00650130">
        <w:rPr>
          <w:rFonts w:ascii="Times New Roman" w:eastAsia="Calibri" w:hAnsi="Times New Roman" w:cs="Times New Roman"/>
          <w:sz w:val="24"/>
          <w:szCs w:val="24"/>
        </w:rPr>
        <w:t xml:space="preserve">стойността, посочена в чл. </w:t>
      </w:r>
      <w:r w:rsidR="00E8471F" w:rsidRPr="00650130">
        <w:rPr>
          <w:rFonts w:ascii="Times New Roman" w:eastAsia="Calibri" w:hAnsi="Times New Roman" w:cs="Times New Roman"/>
          <w:sz w:val="24"/>
          <w:szCs w:val="24"/>
        </w:rPr>
        <w:t>5</w:t>
      </w:r>
      <w:r w:rsidRPr="00650130">
        <w:rPr>
          <w:rFonts w:ascii="Times New Roman" w:eastAsia="Calibri" w:hAnsi="Times New Roman" w:cs="Times New Roman"/>
          <w:sz w:val="24"/>
          <w:szCs w:val="24"/>
        </w:rPr>
        <w:t xml:space="preserve">, ал. 1 от проекта на договора </w:t>
      </w:r>
      <w:r w:rsidRPr="00650130">
        <w:rPr>
          <w:rFonts w:ascii="Times New Roman" w:eastAsia="Times New Roman" w:hAnsi="Times New Roman" w:cs="Times New Roman"/>
          <w:sz w:val="24"/>
          <w:szCs w:val="24"/>
          <w:lang w:eastAsia="bg-BG"/>
        </w:rPr>
        <w:t>за обособена позиция № 2, за която участникът е избран за изпълнител.</w:t>
      </w:r>
    </w:p>
    <w:p w:rsidR="00C52AE4" w:rsidRPr="00650130" w:rsidRDefault="00C52AE4" w:rsidP="004C5B91">
      <w:pPr>
        <w:tabs>
          <w:tab w:val="left" w:pos="720"/>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ab/>
        <w:t>2.</w:t>
      </w:r>
      <w:r w:rsidRPr="00650130">
        <w:rPr>
          <w:rFonts w:ascii="Times New Roman" w:eastAsia="Times New Roman" w:hAnsi="Times New Roman" w:cs="Times New Roman"/>
          <w:sz w:val="24"/>
          <w:szCs w:val="24"/>
          <w:lang w:eastAsia="bg-BG"/>
        </w:rPr>
        <w:t xml:space="preserve"> Условията за освобождаване и задържане на гаранцията за изпълнение по дадена обособена позиция са определени в проекта на договор за съответната обособена позиция </w:t>
      </w:r>
    </w:p>
    <w:p w:rsidR="00C52AE4" w:rsidRPr="00650130" w:rsidRDefault="00C52AE4" w:rsidP="004C5B91">
      <w:pPr>
        <w:tabs>
          <w:tab w:val="left" w:pos="720"/>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ab/>
        <w:t>3.</w:t>
      </w:r>
      <w:r w:rsidRPr="00650130">
        <w:rPr>
          <w:rFonts w:ascii="Times New Roman" w:eastAsia="Times New Roman" w:hAnsi="Times New Roman" w:cs="Times New Roman"/>
          <w:sz w:val="24"/>
          <w:szCs w:val="24"/>
          <w:lang w:eastAsia="bg-BG"/>
        </w:rPr>
        <w:t xml:space="preserve"> Гаранцията/ите за изпълнение се представя/т под формата на банкова гаранция - в оригинал, парична сума (платежно нареждане с копие) или застраховка, която обезпечава изпълнението чрез покритие н</w:t>
      </w:r>
      <w:r w:rsidR="009A35CE" w:rsidRPr="00650130">
        <w:rPr>
          <w:rFonts w:ascii="Times New Roman" w:eastAsia="Times New Roman" w:hAnsi="Times New Roman" w:cs="Times New Roman"/>
          <w:sz w:val="24"/>
          <w:szCs w:val="24"/>
          <w:lang w:eastAsia="bg-BG"/>
        </w:rPr>
        <w:t>а отговорността на изпълнителя.</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4.</w:t>
      </w:r>
      <w:r w:rsidRPr="00650130">
        <w:rPr>
          <w:rFonts w:ascii="Times New Roman" w:eastAsia="Times New Roman" w:hAnsi="Times New Roman" w:cs="Times New Roman"/>
          <w:sz w:val="24"/>
          <w:szCs w:val="24"/>
          <w:lang w:eastAsia="bg-BG"/>
        </w:rPr>
        <w:t xml:space="preserve"> Участникът, определен за изпълнител по дадена обособена позиция/и, избира сам формата на гаранцият</w:t>
      </w:r>
      <w:r w:rsidR="009A35CE" w:rsidRPr="00650130">
        <w:rPr>
          <w:rFonts w:ascii="Times New Roman" w:eastAsia="Times New Roman" w:hAnsi="Times New Roman" w:cs="Times New Roman"/>
          <w:sz w:val="24"/>
          <w:szCs w:val="24"/>
          <w:lang w:eastAsia="bg-BG"/>
        </w:rPr>
        <w:t>а/ите за изпълнение.</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5.</w:t>
      </w:r>
      <w:r w:rsidRPr="00650130">
        <w:rPr>
          <w:rFonts w:ascii="Times New Roman" w:eastAsia="Times New Roman" w:hAnsi="Times New Roman" w:cs="Times New Roman"/>
          <w:sz w:val="24"/>
          <w:szCs w:val="24"/>
          <w:lang w:eastAsia="bg-BG"/>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691FB7"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6.</w:t>
      </w:r>
      <w:r w:rsidRPr="00650130">
        <w:rPr>
          <w:rFonts w:ascii="Times New Roman" w:eastAsia="Times New Roman" w:hAnsi="Times New Roman" w:cs="Times New Roman"/>
          <w:sz w:val="24"/>
          <w:szCs w:val="24"/>
          <w:lang w:eastAsia="bg-BG"/>
        </w:rPr>
        <w:t xml:space="preserve"> Ако гаранцията за изпълнение на договора се представя под формата на парична сума, тя се превежда по банкова сметка на БНБ - IBAN: BG40 BNBG 9661 1000 0661 23, BIC: BNBGBGSD</w:t>
      </w:r>
      <w:r w:rsidR="00691FB7" w:rsidRPr="00650130">
        <w:rPr>
          <w:rFonts w:ascii="Times New Roman" w:eastAsia="Times New Roman" w:hAnsi="Times New Roman" w:cs="Times New Roman"/>
          <w:sz w:val="24"/>
          <w:szCs w:val="24"/>
          <w:lang w:eastAsia="bg-BG"/>
        </w:rPr>
        <w:t>.</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u w:val="single"/>
          <w:lang w:eastAsia="bg-BG"/>
        </w:rPr>
        <w:t>Банковите такси по превода са за сметка на наредителя</w:t>
      </w:r>
      <w:r w:rsidRPr="00650130">
        <w:rPr>
          <w:rFonts w:ascii="Times New Roman" w:eastAsia="Times New Roman" w:hAnsi="Times New Roman" w:cs="Times New Roman"/>
          <w:sz w:val="24"/>
          <w:szCs w:val="24"/>
          <w:lang w:eastAsia="bg-BG"/>
        </w:rPr>
        <w:t>.</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7.</w:t>
      </w:r>
      <w:r w:rsidRPr="00650130">
        <w:rPr>
          <w:rFonts w:ascii="Times New Roman" w:eastAsia="Times New Roman" w:hAnsi="Times New Roman" w:cs="Times New Roman"/>
          <w:sz w:val="24"/>
          <w:szCs w:val="24"/>
          <w:lang w:eastAsia="bg-BG"/>
        </w:rPr>
        <w:t xml:space="preserve"> В случай че гаранцията за изпълнение на договора е под формата на банкова гаранция, същата трябва отговаря на клаузите на договора.</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8.</w:t>
      </w:r>
      <w:r w:rsidRPr="00650130">
        <w:rPr>
          <w:rFonts w:ascii="Times New Roman" w:eastAsia="Times New Roman" w:hAnsi="Times New Roman" w:cs="Times New Roman"/>
          <w:sz w:val="24"/>
          <w:szCs w:val="24"/>
          <w:lang w:eastAsia="bg-BG"/>
        </w:rPr>
        <w:t xml:space="preserve"> </w:t>
      </w:r>
      <w:r w:rsidR="00E8471F" w:rsidRPr="00650130">
        <w:rPr>
          <w:rFonts w:ascii="Times New Roman" w:eastAsia="Times New Roman" w:hAnsi="Times New Roman" w:cs="Times New Roman"/>
          <w:sz w:val="24"/>
          <w:szCs w:val="24"/>
          <w:lang w:eastAsia="bg-BG"/>
        </w:rPr>
        <w:t>В случай че гаранцията за изпълнение на договора е под формата на застраховка същата трябва отговаря на клаузите на договора</w:t>
      </w:r>
      <w:r w:rsidRPr="00650130">
        <w:rPr>
          <w:rFonts w:ascii="Times New Roman" w:eastAsia="Times New Roman" w:hAnsi="Times New Roman" w:cs="Times New Roman"/>
          <w:sz w:val="24"/>
          <w:szCs w:val="24"/>
          <w:lang w:eastAsia="bg-BG"/>
        </w:rPr>
        <w:t>.</w:t>
      </w: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b/>
          <w:sz w:val="24"/>
          <w:szCs w:val="24"/>
          <w:lang w:eastAsia="bg-BG"/>
        </w:rPr>
        <w:t>9.</w:t>
      </w:r>
      <w:r w:rsidRPr="00650130">
        <w:rPr>
          <w:rFonts w:ascii="Times New Roman" w:eastAsia="Times New Roman" w:hAnsi="Times New Roman" w:cs="Times New Roman"/>
          <w:sz w:val="24"/>
          <w:szCs w:val="24"/>
          <w:lang w:eastAsia="bg-BG"/>
        </w:rPr>
        <w:t xml:space="preserve"> При представяне на гаранцията в нея изрично се посочва предметът на договора, съответно обособената позиция, за изпълнението на която се представя гаранцията.</w:t>
      </w:r>
    </w:p>
    <w:p w:rsidR="00C52AE4" w:rsidRPr="00650130" w:rsidRDefault="00C52AE4" w:rsidP="004C5B91">
      <w:pPr>
        <w:tabs>
          <w:tab w:val="left" w:pos="1134"/>
        </w:tabs>
        <w:spacing w:after="0" w:line="360" w:lineRule="auto"/>
        <w:ind w:firstLine="709"/>
        <w:jc w:val="both"/>
        <w:rPr>
          <w:rFonts w:ascii="Times New Roman" w:eastAsia="Calibri" w:hAnsi="Times New Roman" w:cs="Times New Roman"/>
          <w:sz w:val="24"/>
          <w:szCs w:val="24"/>
          <w:lang w:eastAsia="bg-BG"/>
        </w:rPr>
      </w:pPr>
      <w:r w:rsidRPr="00650130">
        <w:rPr>
          <w:rFonts w:ascii="Times New Roman" w:eastAsia="Calibri" w:hAnsi="Times New Roman" w:cs="Times New Roman"/>
          <w:b/>
          <w:sz w:val="24"/>
          <w:szCs w:val="24"/>
          <w:lang w:eastAsia="bg-BG"/>
        </w:rPr>
        <w:t>10.</w:t>
      </w:r>
      <w:r w:rsidRPr="00650130">
        <w:rPr>
          <w:rFonts w:ascii="Times New Roman" w:eastAsia="Calibri" w:hAnsi="Times New Roman" w:cs="Times New Roman"/>
          <w:sz w:val="24"/>
          <w:szCs w:val="24"/>
          <w:lang w:eastAsia="bg-BG"/>
        </w:rPr>
        <w:t xml:space="preserve">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C52AE4" w:rsidRPr="00650130" w:rsidRDefault="00C52AE4" w:rsidP="004C5B91">
      <w:pPr>
        <w:tabs>
          <w:tab w:val="left" w:pos="1134"/>
        </w:tabs>
        <w:spacing w:after="0" w:line="360" w:lineRule="auto"/>
        <w:ind w:firstLine="709"/>
        <w:jc w:val="both"/>
        <w:rPr>
          <w:rFonts w:ascii="Times New Roman" w:eastAsia="Calibri" w:hAnsi="Times New Roman" w:cs="Times New Roman"/>
          <w:snapToGrid w:val="0"/>
          <w:sz w:val="24"/>
          <w:szCs w:val="24"/>
        </w:rPr>
      </w:pPr>
    </w:p>
    <w:p w:rsidR="00C52AE4" w:rsidRPr="00650130" w:rsidRDefault="00C52AE4" w:rsidP="004C5B91">
      <w:pPr>
        <w:tabs>
          <w:tab w:val="left" w:pos="1134"/>
        </w:tabs>
        <w:spacing w:after="0" w:line="360" w:lineRule="auto"/>
        <w:ind w:firstLine="709"/>
        <w:jc w:val="both"/>
        <w:rPr>
          <w:rFonts w:ascii="Times New Roman" w:eastAsia="Times New Roman" w:hAnsi="Times New Roman" w:cs="Times New Roman"/>
          <w:b/>
          <w:sz w:val="24"/>
          <w:szCs w:val="24"/>
          <w:lang w:eastAsia="bg-BG"/>
        </w:rPr>
      </w:pPr>
      <w:r w:rsidRPr="00650130">
        <w:rPr>
          <w:rFonts w:ascii="Times New Roman" w:eastAsia="Calibri" w:hAnsi="Times New Roman" w:cs="Times New Roman"/>
          <w:b/>
          <w:snapToGrid w:val="0"/>
          <w:sz w:val="24"/>
          <w:szCs w:val="24"/>
        </w:rPr>
        <w:t xml:space="preserve">Х. СКЛЮЧВАНЕ НА ДОГОВОР. </w:t>
      </w:r>
      <w:r w:rsidR="00E8471F" w:rsidRPr="00650130">
        <w:rPr>
          <w:rFonts w:ascii="Times New Roman" w:eastAsia="Calibri" w:hAnsi="Times New Roman" w:cs="Times New Roman"/>
          <w:b/>
          <w:snapToGrid w:val="0"/>
          <w:sz w:val="24"/>
          <w:szCs w:val="24"/>
        </w:rPr>
        <w:t>ДОГОВОР ЗА ПОДИЗПЪЛНЕНИЕ</w:t>
      </w:r>
    </w:p>
    <w:p w:rsidR="00E8471F" w:rsidRPr="00650130" w:rsidRDefault="00E8471F" w:rsidP="004C5B91">
      <w:pPr>
        <w:keepNext/>
        <w:keepLines/>
        <w:numPr>
          <w:ilvl w:val="0"/>
          <w:numId w:val="10"/>
        </w:numPr>
        <w:tabs>
          <w:tab w:val="center" w:pos="993"/>
        </w:tabs>
        <w:spacing w:after="0" w:line="360" w:lineRule="auto"/>
        <w:ind w:firstLine="349"/>
        <w:outlineLvl w:val="1"/>
        <w:rPr>
          <w:rFonts w:ascii="Times New Roman" w:eastAsia="Times New Roman" w:hAnsi="Times New Roman" w:cs="Times New Roman"/>
          <w:b/>
          <w:bCs/>
          <w:snapToGrid w:val="0"/>
          <w:sz w:val="24"/>
          <w:szCs w:val="24"/>
        </w:rPr>
      </w:pPr>
      <w:bookmarkStart w:id="5" w:name="_Toc511908837"/>
      <w:r w:rsidRPr="00650130">
        <w:rPr>
          <w:rFonts w:ascii="Times New Roman" w:eastAsia="Times New Roman" w:hAnsi="Times New Roman" w:cs="Times New Roman"/>
          <w:b/>
          <w:bCs/>
          <w:snapToGrid w:val="0"/>
          <w:sz w:val="24"/>
          <w:szCs w:val="24"/>
        </w:rPr>
        <w:t>Сключване на договор</w:t>
      </w:r>
      <w:bookmarkEnd w:id="5"/>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Договор не се сключва в случаите по чл. 112, ал. 2 от ЗОП.</w:t>
      </w:r>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E8471F"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E8471F" w:rsidRPr="00650130" w:rsidRDefault="00E8471F" w:rsidP="004C5B91">
      <w:pPr>
        <w:keepNext/>
        <w:keepLines/>
        <w:numPr>
          <w:ilvl w:val="0"/>
          <w:numId w:val="10"/>
        </w:numPr>
        <w:tabs>
          <w:tab w:val="center" w:pos="993"/>
        </w:tabs>
        <w:spacing w:after="0" w:line="360" w:lineRule="auto"/>
        <w:ind w:firstLine="349"/>
        <w:outlineLvl w:val="1"/>
        <w:rPr>
          <w:rFonts w:ascii="Times New Roman" w:eastAsia="Times New Roman" w:hAnsi="Times New Roman" w:cs="Times New Roman"/>
          <w:b/>
          <w:bCs/>
          <w:snapToGrid w:val="0"/>
          <w:sz w:val="24"/>
          <w:szCs w:val="24"/>
        </w:rPr>
      </w:pPr>
      <w:bookmarkStart w:id="6" w:name="_Toc511908838"/>
      <w:r w:rsidRPr="00650130">
        <w:rPr>
          <w:rFonts w:ascii="Times New Roman" w:eastAsia="Times New Roman" w:hAnsi="Times New Roman" w:cs="Times New Roman"/>
          <w:b/>
          <w:bCs/>
          <w:snapToGrid w:val="0"/>
          <w:sz w:val="24"/>
          <w:szCs w:val="24"/>
        </w:rPr>
        <w:t>Договор за подизпълнение</w:t>
      </w:r>
      <w:bookmarkEnd w:id="6"/>
    </w:p>
    <w:p w:rsidR="00E8471F" w:rsidRPr="00650130" w:rsidRDefault="00E8471F" w:rsidP="004C5B91">
      <w:pPr>
        <w:tabs>
          <w:tab w:val="left" w:pos="720"/>
          <w:tab w:val="left" w:pos="1134"/>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w:t>
      </w:r>
    </w:p>
    <w:p w:rsidR="00E8471F" w:rsidRPr="00650130" w:rsidRDefault="00E8471F" w:rsidP="004C5B91">
      <w:pPr>
        <w:tabs>
          <w:tab w:val="left" w:pos="720"/>
          <w:tab w:val="left" w:pos="1134"/>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E8471F" w:rsidRPr="00650130" w:rsidRDefault="00E8471F" w:rsidP="004C5B91">
      <w:pPr>
        <w:tabs>
          <w:tab w:val="left" w:pos="567"/>
        </w:tabs>
        <w:spacing w:after="0" w:line="360" w:lineRule="auto"/>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i/>
          <w:sz w:val="24"/>
          <w:szCs w:val="24"/>
          <w:lang w:eastAsia="bg-BG"/>
        </w:rPr>
        <w:tab/>
      </w:r>
      <w:r w:rsidRPr="00650130">
        <w:rPr>
          <w:rFonts w:ascii="Times New Roman" w:eastAsia="Times New Roman" w:hAnsi="Times New Roman" w:cs="Times New Roman"/>
          <w:sz w:val="24"/>
          <w:szCs w:val="24"/>
          <w:lang w:eastAsia="bg-BG"/>
        </w:rPr>
        <w:t>Изпълнителят се задължава да сключи договор/договори за подизпълнение с посочените в офертата му подизпълнители в срок от 3 (три) дни от сключване на договора.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C52AE4" w:rsidRPr="00650130" w:rsidRDefault="00E8471F"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52AE4" w:rsidRPr="00650130">
        <w:rPr>
          <w:rFonts w:ascii="Times New Roman" w:eastAsia="Times New Roman" w:hAnsi="Times New Roman" w:cs="Times New Roman"/>
          <w:snapToGrid w:val="0"/>
          <w:sz w:val="24"/>
          <w:szCs w:val="24"/>
        </w:rPr>
        <w:t>.</w:t>
      </w:r>
    </w:p>
    <w:p w:rsidR="00C52AE4" w:rsidRPr="00650130" w:rsidRDefault="00C52AE4" w:rsidP="004C5B91">
      <w:pPr>
        <w:tabs>
          <w:tab w:val="left" w:pos="720"/>
        </w:tabs>
        <w:spacing w:after="0" w:line="360" w:lineRule="auto"/>
        <w:ind w:firstLine="709"/>
        <w:jc w:val="both"/>
        <w:rPr>
          <w:rFonts w:ascii="Times New Roman" w:eastAsia="Times New Roman" w:hAnsi="Times New Roman" w:cs="Times New Roman"/>
          <w:snapToGrid w:val="0"/>
          <w:sz w:val="24"/>
          <w:szCs w:val="24"/>
        </w:rPr>
      </w:pPr>
    </w:p>
    <w:p w:rsidR="00E8471F" w:rsidRPr="00650130" w:rsidRDefault="00E8471F" w:rsidP="004C5B91">
      <w:pPr>
        <w:pStyle w:val="Heading1"/>
        <w:tabs>
          <w:tab w:val="left" w:pos="0"/>
        </w:tabs>
        <w:spacing w:before="0" w:line="360" w:lineRule="auto"/>
        <w:rPr>
          <w:rFonts w:ascii="Times New Roman" w:eastAsia="Times New Roman" w:hAnsi="Times New Roman" w:cs="Times New Roman"/>
          <w:color w:val="auto"/>
          <w:sz w:val="24"/>
          <w:szCs w:val="24"/>
          <w:lang w:eastAsia="bg-BG"/>
        </w:rPr>
      </w:pPr>
      <w:bookmarkStart w:id="7" w:name="_Toc517097526"/>
      <w:r w:rsidRPr="00650130">
        <w:rPr>
          <w:rFonts w:ascii="Times New Roman" w:hAnsi="Times New Roman" w:cs="Times New Roman"/>
          <w:color w:val="auto"/>
          <w:sz w:val="24"/>
          <w:szCs w:val="24"/>
        </w:rPr>
        <w:lastRenderedPageBreak/>
        <w:tab/>
      </w:r>
      <w:r w:rsidR="00B64208" w:rsidRPr="00650130">
        <w:rPr>
          <w:rFonts w:ascii="Times New Roman" w:hAnsi="Times New Roman" w:cs="Times New Roman"/>
          <w:color w:val="auto"/>
          <w:sz w:val="24"/>
          <w:szCs w:val="24"/>
        </w:rPr>
        <w:t xml:space="preserve">XI. </w:t>
      </w:r>
      <w:bookmarkStart w:id="8" w:name="_Toc511908839"/>
      <w:r w:rsidRPr="00650130">
        <w:rPr>
          <w:rFonts w:ascii="Times New Roman" w:eastAsia="Times New Roman" w:hAnsi="Times New Roman" w:cs="Times New Roman"/>
          <w:color w:val="auto"/>
          <w:sz w:val="24"/>
          <w:szCs w:val="24"/>
          <w:lang w:eastAsia="bg-BG"/>
        </w:rPr>
        <w:t>ОБЖАЛВАНЕ</w:t>
      </w:r>
      <w:bookmarkEnd w:id="8"/>
    </w:p>
    <w:p w:rsidR="00E8471F" w:rsidRPr="00650130" w:rsidRDefault="00E8471F" w:rsidP="004C5B91">
      <w:pPr>
        <w:tabs>
          <w:tab w:val="left" w:pos="3240"/>
        </w:tabs>
        <w:spacing w:after="0" w:line="360" w:lineRule="auto"/>
        <w:ind w:firstLine="709"/>
        <w:jc w:val="both"/>
        <w:rPr>
          <w:rFonts w:ascii="Times New Roman" w:eastAsia="Arial Unicode MS" w:hAnsi="Times New Roman" w:cs="Times New Roman"/>
          <w:sz w:val="24"/>
          <w:szCs w:val="24"/>
          <w:lang w:eastAsia="bg-BG"/>
        </w:rPr>
      </w:pPr>
      <w:r w:rsidRPr="00650130">
        <w:rPr>
          <w:rFonts w:ascii="Times New Roman" w:eastAsia="Arial Unicode MS" w:hAnsi="Times New Roman" w:cs="Times New Roman"/>
          <w:sz w:val="24"/>
          <w:szCs w:val="24"/>
          <w:lang w:eastAsia="bg-BG"/>
        </w:rPr>
        <w:t>Обжалването се извършва при условията и по реда на чл. 196 и сл. от ЗОП.</w:t>
      </w:r>
    </w:p>
    <w:p w:rsidR="00E8471F" w:rsidRPr="00650130" w:rsidRDefault="00E8471F" w:rsidP="004C5B91">
      <w:pPr>
        <w:keepNext/>
        <w:keepLines/>
        <w:spacing w:after="0" w:line="360" w:lineRule="auto"/>
        <w:outlineLvl w:val="0"/>
        <w:rPr>
          <w:rFonts w:ascii="Times New Roman" w:eastAsia="Arial Unicode MS" w:hAnsi="Times New Roman" w:cs="Times New Roman"/>
          <w:b/>
          <w:bCs/>
          <w:sz w:val="24"/>
          <w:szCs w:val="24"/>
          <w:lang w:eastAsia="bg-BG"/>
        </w:rPr>
      </w:pPr>
    </w:p>
    <w:p w:rsidR="00E8471F" w:rsidRPr="00650130" w:rsidRDefault="00A231CC" w:rsidP="00904293">
      <w:pPr>
        <w:keepNext/>
        <w:keepLines/>
        <w:tabs>
          <w:tab w:val="left" w:pos="0"/>
          <w:tab w:val="left" w:pos="1134"/>
        </w:tabs>
        <w:spacing w:after="0" w:line="360" w:lineRule="auto"/>
        <w:ind w:left="709"/>
        <w:jc w:val="both"/>
        <w:outlineLvl w:val="0"/>
        <w:rPr>
          <w:rFonts w:ascii="Times New Roman" w:eastAsia="Arial Unicode MS" w:hAnsi="Times New Roman" w:cs="Times New Roman"/>
          <w:b/>
          <w:bCs/>
          <w:sz w:val="24"/>
          <w:szCs w:val="24"/>
          <w:lang w:eastAsia="bg-BG"/>
        </w:rPr>
      </w:pPr>
      <w:bookmarkStart w:id="9" w:name="_Toc511908840"/>
      <w:r w:rsidRPr="00650130">
        <w:rPr>
          <w:rFonts w:ascii="Times New Roman" w:eastAsia="Arial Unicode MS" w:hAnsi="Times New Roman" w:cs="Times New Roman"/>
          <w:b/>
          <w:bCs/>
          <w:sz w:val="24"/>
          <w:szCs w:val="24"/>
          <w:lang w:eastAsia="bg-BG"/>
        </w:rPr>
        <w:t xml:space="preserve">ХII. </w:t>
      </w:r>
      <w:r w:rsidR="00E8471F" w:rsidRPr="00650130">
        <w:rPr>
          <w:rFonts w:ascii="Times New Roman" w:eastAsia="Arial Unicode MS" w:hAnsi="Times New Roman" w:cs="Times New Roman"/>
          <w:b/>
          <w:bCs/>
          <w:sz w:val="24"/>
          <w:szCs w:val="24"/>
          <w:lang w:eastAsia="bg-BG"/>
        </w:rPr>
        <w:t>ДРУГИ УСЛОВИЯ</w:t>
      </w:r>
      <w:bookmarkEnd w:id="9"/>
    </w:p>
    <w:p w:rsidR="00E8471F" w:rsidRPr="00650130" w:rsidRDefault="00E8471F" w:rsidP="004C5B91">
      <w:pPr>
        <w:tabs>
          <w:tab w:val="left" w:pos="709"/>
          <w:tab w:val="left" w:pos="1134"/>
        </w:tabs>
        <w:spacing w:after="0" w:line="360" w:lineRule="auto"/>
        <w:ind w:right="20"/>
        <w:jc w:val="both"/>
        <w:rPr>
          <w:rFonts w:ascii="Times New Roman" w:eastAsia="Times New Roman" w:hAnsi="Times New Roman" w:cs="Times New Roman"/>
          <w:sz w:val="24"/>
          <w:szCs w:val="24"/>
          <w:lang w:eastAsia="bg-BG"/>
        </w:rPr>
      </w:pPr>
      <w:r w:rsidRPr="00650130">
        <w:rPr>
          <w:rFonts w:ascii="Times New Roman" w:eastAsia="Times New Roman" w:hAnsi="Times New Roman" w:cs="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B64208" w:rsidRPr="00650130" w:rsidRDefault="00A231CC" w:rsidP="00A231CC">
      <w:pPr>
        <w:pStyle w:val="Heading1"/>
        <w:widowControl w:val="0"/>
        <w:tabs>
          <w:tab w:val="left" w:pos="709"/>
          <w:tab w:val="left" w:pos="1985"/>
        </w:tabs>
        <w:spacing w:before="0" w:line="360" w:lineRule="auto"/>
        <w:jc w:val="both"/>
        <w:rPr>
          <w:rFonts w:ascii="Times New Roman" w:eastAsia="Times New Roman" w:hAnsi="Times New Roman" w:cs="Times New Roman"/>
          <w:snapToGrid w:val="0"/>
          <w:sz w:val="24"/>
          <w:szCs w:val="24"/>
        </w:rPr>
      </w:pPr>
      <w:r w:rsidRPr="00650130">
        <w:rPr>
          <w:rFonts w:ascii="Times New Roman" w:eastAsia="Times New Roman" w:hAnsi="Times New Roman" w:cs="Times New Roman"/>
          <w:b w:val="0"/>
          <w:bCs w:val="0"/>
          <w:color w:val="auto"/>
          <w:sz w:val="24"/>
          <w:szCs w:val="24"/>
          <w:lang w:eastAsia="bg-BG"/>
        </w:rPr>
        <w:tab/>
      </w:r>
      <w:r w:rsidR="00E8471F" w:rsidRPr="00650130">
        <w:rPr>
          <w:rFonts w:ascii="Times New Roman" w:eastAsia="Times New Roman" w:hAnsi="Times New Roman" w:cs="Times New Roman"/>
          <w:b w:val="0"/>
          <w:bCs w:val="0"/>
          <w:color w:val="auto"/>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bookmarkEnd w:id="7"/>
    </w:p>
    <w:p w:rsidR="00B64208" w:rsidRPr="00650130" w:rsidRDefault="00B64208" w:rsidP="004C5B91">
      <w:pPr>
        <w:tabs>
          <w:tab w:val="left" w:pos="720"/>
          <w:tab w:val="left" w:pos="1134"/>
        </w:tabs>
        <w:spacing w:after="0" w:line="360" w:lineRule="auto"/>
        <w:ind w:firstLine="709"/>
        <w:jc w:val="both"/>
        <w:rPr>
          <w:rFonts w:ascii="Times New Roman" w:eastAsia="Times New Roman" w:hAnsi="Times New Roman" w:cs="Times New Roman"/>
          <w:snapToGrid w:val="0"/>
          <w:sz w:val="24"/>
          <w:szCs w:val="24"/>
        </w:rPr>
      </w:pPr>
    </w:p>
    <w:p w:rsidR="00B64208" w:rsidRPr="00650130" w:rsidRDefault="00B64208" w:rsidP="004C5B91">
      <w:pPr>
        <w:pStyle w:val="Heading1"/>
        <w:widowControl w:val="0"/>
        <w:tabs>
          <w:tab w:val="left" w:pos="993"/>
          <w:tab w:val="left" w:pos="1985"/>
        </w:tabs>
        <w:spacing w:before="0" w:line="360" w:lineRule="auto"/>
        <w:jc w:val="center"/>
        <w:rPr>
          <w:rFonts w:ascii="Times New Roman" w:eastAsia="Times New Roman" w:hAnsi="Times New Roman" w:cs="Times New Roman"/>
          <w:color w:val="auto"/>
          <w:sz w:val="24"/>
          <w:szCs w:val="24"/>
        </w:rPr>
      </w:pPr>
      <w:bookmarkStart w:id="10" w:name="_Toc515953070"/>
      <w:bookmarkStart w:id="11" w:name="_Toc517097528"/>
      <w:r w:rsidRPr="00650130">
        <w:rPr>
          <w:rFonts w:ascii="Times New Roman" w:eastAsia="Times New Roman" w:hAnsi="Times New Roman" w:cs="Times New Roman"/>
          <w:bCs w:val="0"/>
          <w:color w:val="auto"/>
          <w:sz w:val="24"/>
          <w:szCs w:val="24"/>
        </w:rPr>
        <w:t>XII</w:t>
      </w:r>
      <w:r w:rsidR="00E8471F" w:rsidRPr="00650130">
        <w:rPr>
          <w:rFonts w:ascii="Times New Roman" w:eastAsia="Times New Roman" w:hAnsi="Times New Roman" w:cs="Times New Roman"/>
          <w:bCs w:val="0"/>
          <w:color w:val="auto"/>
          <w:sz w:val="24"/>
          <w:szCs w:val="24"/>
        </w:rPr>
        <w:t>I</w:t>
      </w:r>
      <w:r w:rsidRPr="00650130">
        <w:rPr>
          <w:rFonts w:ascii="Times New Roman" w:eastAsia="Times New Roman" w:hAnsi="Times New Roman" w:cs="Times New Roman"/>
          <w:bCs w:val="0"/>
          <w:color w:val="auto"/>
          <w:sz w:val="24"/>
          <w:szCs w:val="24"/>
        </w:rPr>
        <w:t>. 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
      <w:bookmarkEnd w:id="11"/>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12" w:name="_Toc515953071"/>
      <w:bookmarkStart w:id="13" w:name="_Toc517097529"/>
      <w:r w:rsidRPr="00650130">
        <w:rPr>
          <w:rFonts w:ascii="Times New Roman" w:eastAsia="Times New Roman" w:hAnsi="Times New Roman" w:cs="Times New Roman"/>
          <w:b/>
          <w:bCs/>
          <w:sz w:val="24"/>
          <w:szCs w:val="24"/>
        </w:rPr>
        <w:t>Данни относно администратора на лични данни</w:t>
      </w:r>
      <w:bookmarkEnd w:id="12"/>
      <w:bookmarkEnd w:id="13"/>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 xml:space="preserve">Общите положения и принципи съгласно които БНБ обработва лични данни се съдържат в </w:t>
      </w:r>
      <w:hyperlink r:id="rId11" w:history="1">
        <w:r w:rsidRPr="00650130">
          <w:rPr>
            <w:rStyle w:val="Hyperlink"/>
            <w:rFonts w:ascii="Times New Roman" w:eastAsia="Times New Roman" w:hAnsi="Times New Roman" w:cs="Times New Roman"/>
            <w:sz w:val="24"/>
            <w:szCs w:val="24"/>
          </w:rPr>
          <w:t>Политика на Българската народна банка при обработване на лични данни</w:t>
        </w:r>
      </w:hyperlink>
      <w:r w:rsidRPr="00650130">
        <w:rPr>
          <w:rFonts w:ascii="Times New Roman" w:eastAsia="Times New Roman" w:hAnsi="Times New Roman" w:cs="Times New Roman"/>
          <w:sz w:val="24"/>
          <w:szCs w:val="24"/>
        </w:rPr>
        <w:t xml:space="preserve">, публично достъпна на интернет адреса на банката, раздел „за БНБ“, секция „Защита на личните данни“. </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Координатите на администратора във връзка с обработването на лични данни са: Българска народна банка, гр. Софи</w:t>
      </w:r>
      <w:r w:rsidR="009A35CE" w:rsidRPr="00650130">
        <w:rPr>
          <w:rFonts w:ascii="Times New Roman" w:eastAsia="Times New Roman" w:hAnsi="Times New Roman" w:cs="Times New Roman"/>
          <w:sz w:val="24"/>
          <w:szCs w:val="24"/>
        </w:rPr>
        <w:t>я, пл. „Княз Александър I“ № 1.</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14" w:name="_Toc515953072"/>
      <w:bookmarkStart w:id="15" w:name="_Toc517097530"/>
      <w:r w:rsidRPr="00650130">
        <w:rPr>
          <w:rFonts w:ascii="Times New Roman" w:eastAsia="Times New Roman" w:hAnsi="Times New Roman" w:cs="Times New Roman"/>
          <w:b/>
          <w:bCs/>
          <w:sz w:val="24"/>
          <w:szCs w:val="24"/>
        </w:rPr>
        <w:t>Цели на обработването. Правни основания</w:t>
      </w:r>
      <w:bookmarkEnd w:id="14"/>
      <w:bookmarkEnd w:id="15"/>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w:t>
      </w:r>
      <w:r w:rsidR="009A35CE" w:rsidRPr="00650130">
        <w:rPr>
          <w:rFonts w:ascii="Times New Roman" w:eastAsia="Times New Roman" w:hAnsi="Times New Roman" w:cs="Times New Roman"/>
          <w:sz w:val="24"/>
          <w:szCs w:val="24"/>
        </w:rPr>
        <w:t>ластта на обществените поръчки.</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lastRenderedPageBreak/>
        <w:t xml:space="preserve">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w:t>
      </w:r>
      <w:r w:rsidR="009C6968" w:rsidRPr="00650130">
        <w:rPr>
          <w:rFonts w:ascii="Times New Roman" w:eastAsia="Times New Roman" w:hAnsi="Times New Roman" w:cs="Times New Roman"/>
          <w:sz w:val="24"/>
          <w:szCs w:val="24"/>
        </w:rPr>
        <w:t xml:space="preserve">интереси (чл. 54, ал. 1, т. 1, </w:t>
      </w:r>
      <w:r w:rsidRPr="00650130">
        <w:rPr>
          <w:rFonts w:ascii="Times New Roman" w:eastAsia="Times New Roman" w:hAnsi="Times New Roman" w:cs="Times New Roman"/>
          <w:sz w:val="24"/>
          <w:szCs w:val="24"/>
        </w:rPr>
        <w:t>т. 2 и т. 7от ЗОП), както и данни относно наличието/липсата на свързаност с други участници в поръчката (чл. 101, ал. 11 от ЗОП).</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w:t>
      </w:r>
      <w:r w:rsidR="009A35CE" w:rsidRPr="00650130">
        <w:rPr>
          <w:rFonts w:ascii="Times New Roman" w:eastAsia="Times New Roman" w:hAnsi="Times New Roman" w:cs="Times New Roman"/>
          <w:sz w:val="24"/>
          <w:szCs w:val="24"/>
        </w:rPr>
        <w:t>ние да извлече тази информация.</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16" w:name="_Toc515953073"/>
      <w:bookmarkStart w:id="17" w:name="_Toc517097531"/>
      <w:r w:rsidRPr="00650130">
        <w:rPr>
          <w:rFonts w:ascii="Times New Roman" w:eastAsia="Times New Roman" w:hAnsi="Times New Roman" w:cs="Times New Roman"/>
          <w:b/>
          <w:bCs/>
          <w:sz w:val="24"/>
          <w:szCs w:val="24"/>
        </w:rPr>
        <w:t>Лица, обработващи лични данни в БНБ</w:t>
      </w:r>
      <w:bookmarkEnd w:id="16"/>
      <w:bookmarkEnd w:id="17"/>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Достъп до личните данни на участниците имат определени по съответен ред служители на БНБ при</w:t>
      </w:r>
      <w:r w:rsidR="009A35CE" w:rsidRPr="00650130">
        <w:rPr>
          <w:rFonts w:ascii="Times New Roman" w:eastAsia="Times New Roman" w:hAnsi="Times New Roman" w:cs="Times New Roman"/>
          <w:sz w:val="24"/>
          <w:szCs w:val="24"/>
        </w:rPr>
        <w:t xml:space="preserve"> изпълнение на задълженията им.</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18" w:name="_Toc515953074"/>
      <w:bookmarkStart w:id="19" w:name="_Toc517097532"/>
      <w:r w:rsidRPr="00650130">
        <w:rPr>
          <w:rFonts w:ascii="Times New Roman" w:eastAsia="Times New Roman" w:hAnsi="Times New Roman" w:cs="Times New Roman"/>
          <w:b/>
          <w:bCs/>
          <w:sz w:val="24"/>
          <w:szCs w:val="24"/>
        </w:rPr>
        <w:t>Срок за съхраняване на личните данни</w:t>
      </w:r>
      <w:bookmarkEnd w:id="18"/>
      <w:bookmarkEnd w:id="19"/>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w:t>
      </w:r>
      <w:r w:rsidR="009A35CE" w:rsidRPr="00650130">
        <w:rPr>
          <w:rFonts w:ascii="Times New Roman" w:eastAsia="Times New Roman" w:hAnsi="Times New Roman" w:cs="Times New Roman"/>
          <w:sz w:val="24"/>
          <w:szCs w:val="24"/>
        </w:rPr>
        <w:t>съгласно чл. 122, ал. 1 от ЗОП.</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20" w:name="_Toc515953075"/>
      <w:bookmarkStart w:id="21" w:name="_Toc517097533"/>
      <w:r w:rsidRPr="00650130">
        <w:rPr>
          <w:rFonts w:ascii="Times New Roman" w:eastAsia="Times New Roman" w:hAnsi="Times New Roman" w:cs="Times New Roman"/>
          <w:b/>
          <w:bCs/>
          <w:sz w:val="24"/>
          <w:szCs w:val="24"/>
        </w:rPr>
        <w:t>Права на субекта на данните</w:t>
      </w:r>
      <w:bookmarkEnd w:id="20"/>
      <w:bookmarkEnd w:id="21"/>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lastRenderedPageBreak/>
        <w:t>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w:t>
      </w:r>
      <w:r w:rsidR="009A35CE" w:rsidRPr="00650130">
        <w:rPr>
          <w:rFonts w:ascii="Times New Roman" w:eastAsia="Times New Roman" w:hAnsi="Times New Roman" w:cs="Times New Roman"/>
          <w:sz w:val="24"/>
          <w:szCs w:val="24"/>
        </w:rPr>
        <w:t>Б информира участника писмено.</w:t>
      </w:r>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Исканията във връзка с упражняването на тези права могат да бъдат изпращани на електронен адрес:</w:t>
      </w:r>
      <w:r w:rsidRPr="00650130">
        <w:rPr>
          <w:rFonts w:ascii="Times New Roman" w:eastAsia="Times New Roman" w:hAnsi="Times New Roman" w:cs="Times New Roman"/>
          <w:sz w:val="24"/>
          <w:szCs w:val="24"/>
          <w:u w:val="single"/>
        </w:rPr>
        <w:t xml:space="preserve"> </w:t>
      </w:r>
      <w:hyperlink r:id="rId12" w:history="1">
        <w:r w:rsidRPr="00650130">
          <w:rPr>
            <w:rStyle w:val="Hyperlink"/>
            <w:rFonts w:ascii="Times New Roman" w:eastAsia="Times New Roman" w:hAnsi="Times New Roman" w:cs="Times New Roman"/>
            <w:sz w:val="24"/>
            <w:szCs w:val="24"/>
          </w:rPr>
          <w:t>personaldata@bnbank.org</w:t>
        </w:r>
      </w:hyperlink>
      <w:r w:rsidRPr="00650130">
        <w:rPr>
          <w:rFonts w:ascii="Times New Roman" w:eastAsia="Times New Roman" w:hAnsi="Times New Roman" w:cs="Times New Roman"/>
          <w:sz w:val="24"/>
          <w:szCs w:val="24"/>
          <w:u w:val="single"/>
        </w:rPr>
        <w:t xml:space="preserve"> </w:t>
      </w:r>
      <w:r w:rsidRPr="00650130">
        <w:rPr>
          <w:rFonts w:ascii="Times New Roman" w:eastAsia="Times New Roman" w:hAnsi="Times New Roman" w:cs="Times New Roman"/>
          <w:sz w:val="24"/>
          <w:szCs w:val="24"/>
        </w:rPr>
        <w:t>по пощата или да бъдат предоставяни лично в централната страда на БНБ, гр. Софи</w:t>
      </w:r>
      <w:r w:rsidR="009A35CE" w:rsidRPr="00650130">
        <w:rPr>
          <w:rFonts w:ascii="Times New Roman" w:eastAsia="Times New Roman" w:hAnsi="Times New Roman" w:cs="Times New Roman"/>
          <w:sz w:val="24"/>
          <w:szCs w:val="24"/>
        </w:rPr>
        <w:t>я, пл. „Княз Александър I“ № 1.</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22" w:name="_Toc515953076"/>
      <w:bookmarkStart w:id="23" w:name="_Toc517097534"/>
      <w:r w:rsidRPr="00650130">
        <w:rPr>
          <w:rFonts w:ascii="Times New Roman" w:eastAsia="Times New Roman" w:hAnsi="Times New Roman" w:cs="Times New Roman"/>
          <w:b/>
          <w:bCs/>
          <w:sz w:val="24"/>
          <w:szCs w:val="24"/>
        </w:rPr>
        <w:t>Длъжностно лице по защита на личните данни</w:t>
      </w:r>
      <w:bookmarkEnd w:id="22"/>
      <w:bookmarkEnd w:id="23"/>
    </w:p>
    <w:p w:rsidR="00B64208"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650130">
          <w:rPr>
            <w:rStyle w:val="Hyperlink"/>
            <w:rFonts w:ascii="Times New Roman" w:eastAsia="Times New Roman" w:hAnsi="Times New Roman" w:cs="Times New Roman"/>
            <w:sz w:val="24"/>
            <w:szCs w:val="24"/>
          </w:rPr>
          <w:t>personaldata@bnbank.org</w:t>
        </w:r>
      </w:hyperlink>
      <w:r w:rsidRPr="00650130">
        <w:rPr>
          <w:rFonts w:ascii="Times New Roman" w:eastAsia="Times New Roman" w:hAnsi="Times New Roman" w:cs="Times New Roman"/>
          <w:sz w:val="24"/>
          <w:szCs w:val="24"/>
        </w:rPr>
        <w:t> , или в писмен вид в деловодството на БНБ на пощенски адрес: 1000 София, пл. „Княз Александър І“ № 1.</w:t>
      </w:r>
    </w:p>
    <w:p w:rsidR="00B64208" w:rsidRPr="00650130" w:rsidRDefault="00B64208" w:rsidP="004C5B91">
      <w:pPr>
        <w:keepNext/>
        <w:keepLines/>
        <w:numPr>
          <w:ilvl w:val="1"/>
          <w:numId w:val="6"/>
        </w:numPr>
        <w:tabs>
          <w:tab w:val="left" w:pos="993"/>
        </w:tabs>
        <w:spacing w:after="0" w:line="360" w:lineRule="auto"/>
        <w:ind w:left="709" w:firstLine="0"/>
        <w:outlineLvl w:val="1"/>
        <w:rPr>
          <w:rFonts w:ascii="Times New Roman" w:eastAsia="Times New Roman" w:hAnsi="Times New Roman" w:cs="Times New Roman"/>
          <w:b/>
          <w:bCs/>
          <w:sz w:val="24"/>
          <w:szCs w:val="24"/>
        </w:rPr>
      </w:pPr>
      <w:bookmarkStart w:id="24" w:name="_Toc515953077"/>
      <w:bookmarkStart w:id="25" w:name="_Toc517097535"/>
      <w:r w:rsidRPr="00650130">
        <w:rPr>
          <w:rFonts w:ascii="Times New Roman" w:eastAsia="Times New Roman" w:hAnsi="Times New Roman" w:cs="Times New Roman"/>
          <w:b/>
          <w:bCs/>
          <w:sz w:val="24"/>
          <w:szCs w:val="24"/>
        </w:rPr>
        <w:t>Право на обжалване</w:t>
      </w:r>
      <w:bookmarkEnd w:id="24"/>
      <w:bookmarkEnd w:id="25"/>
    </w:p>
    <w:p w:rsidR="005A5ABF" w:rsidRPr="00650130" w:rsidRDefault="00B64208" w:rsidP="004C5B91">
      <w:pPr>
        <w:tabs>
          <w:tab w:val="left" w:pos="3240"/>
        </w:tabs>
        <w:spacing w:after="0" w:line="360" w:lineRule="auto"/>
        <w:ind w:firstLine="709"/>
        <w:jc w:val="both"/>
        <w:rPr>
          <w:rFonts w:ascii="Times New Roman" w:eastAsia="Times New Roman" w:hAnsi="Times New Roman" w:cs="Times New Roman"/>
          <w:sz w:val="24"/>
          <w:szCs w:val="24"/>
        </w:rPr>
      </w:pPr>
      <w:r w:rsidRPr="00650130">
        <w:rPr>
          <w:rFonts w:ascii="Times New Roman" w:eastAsia="Times New Roman" w:hAnsi="Times New Roman" w:cs="Times New Roman"/>
          <w:sz w:val="24"/>
          <w:szCs w:val="24"/>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650130">
          <w:rPr>
            <w:rStyle w:val="Hyperlink"/>
            <w:rFonts w:ascii="Times New Roman" w:eastAsia="Times New Roman" w:hAnsi="Times New Roman" w:cs="Times New Roman"/>
            <w:sz w:val="24"/>
            <w:szCs w:val="24"/>
          </w:rPr>
          <w:t>kzld@cpdp.bg</w:t>
        </w:r>
      </w:hyperlink>
      <w:r w:rsidRPr="00650130">
        <w:rPr>
          <w:rFonts w:ascii="Times New Roman" w:eastAsia="Times New Roman" w:hAnsi="Times New Roman" w:cs="Times New Roman"/>
          <w:sz w:val="24"/>
          <w:szCs w:val="24"/>
        </w:rPr>
        <w:t>, във връзка с обработването на лични данни, свързани с него.</w:t>
      </w:r>
    </w:p>
    <w:sectPr w:rsidR="005A5ABF" w:rsidRPr="00650130" w:rsidSect="007A64EE">
      <w:headerReference w:type="default" r:id="rId15"/>
      <w:footerReference w:type="even" r:id="rId16"/>
      <w:footerReference w:type="default" r:id="rId17"/>
      <w:footerReference w:type="first" r:id="rId18"/>
      <w:pgSz w:w="11906" w:h="16838" w:code="9"/>
      <w:pgMar w:top="-1418" w:right="1106" w:bottom="1418"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62B" w:rsidRDefault="0060262B" w:rsidP="00C52AE4">
      <w:pPr>
        <w:spacing w:after="0" w:line="240" w:lineRule="auto"/>
      </w:pPr>
      <w:r>
        <w:separator/>
      </w:r>
    </w:p>
  </w:endnote>
  <w:endnote w:type="continuationSeparator" w:id="0">
    <w:p w:rsidR="0060262B" w:rsidRDefault="0060262B" w:rsidP="00C5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30" w:rsidRDefault="003356F2" w:rsidP="00EC64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6C30" w:rsidRDefault="0060262B" w:rsidP="00EC64D7">
    <w:pPr>
      <w:pStyle w:val="Footer"/>
      <w:ind w:right="360"/>
    </w:pPr>
  </w:p>
  <w:p w:rsidR="00E86C30" w:rsidRDefault="0060262B"/>
  <w:p w:rsidR="00E86C30" w:rsidRDefault="0060262B"/>
  <w:p w:rsidR="00E86C30" w:rsidRDefault="0060262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30" w:rsidRDefault="003356F2">
    <w:pPr>
      <w:pStyle w:val="Footer"/>
      <w:jc w:val="right"/>
    </w:pPr>
    <w:r>
      <w:fldChar w:fldCharType="begin"/>
    </w:r>
    <w:r>
      <w:instrText xml:space="preserve"> PAGE   \* MERGEFORMAT </w:instrText>
    </w:r>
    <w:r>
      <w:fldChar w:fldCharType="separate"/>
    </w:r>
    <w:r w:rsidR="002811B1">
      <w:rPr>
        <w:noProof/>
      </w:rPr>
      <w:t>2</w:t>
    </w:r>
    <w:r>
      <w:rPr>
        <w:noProof/>
      </w:rPr>
      <w:fldChar w:fldCharType="end"/>
    </w:r>
  </w:p>
  <w:p w:rsidR="00E86C30" w:rsidRDefault="0060262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30" w:rsidRDefault="003356F2" w:rsidP="00EC64D7">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62B" w:rsidRDefault="0060262B" w:rsidP="00C52AE4">
      <w:pPr>
        <w:spacing w:after="0" w:line="240" w:lineRule="auto"/>
      </w:pPr>
      <w:r>
        <w:separator/>
      </w:r>
    </w:p>
  </w:footnote>
  <w:footnote w:type="continuationSeparator" w:id="0">
    <w:p w:rsidR="0060262B" w:rsidRDefault="0060262B" w:rsidP="00C52AE4">
      <w:pPr>
        <w:spacing w:after="0" w:line="240" w:lineRule="auto"/>
      </w:pPr>
      <w:r>
        <w:continuationSeparator/>
      </w:r>
    </w:p>
  </w:footnote>
  <w:footnote w:id="1">
    <w:p w:rsidR="00C52AE4" w:rsidRPr="00D06D4E" w:rsidRDefault="00C52AE4" w:rsidP="00C52AE4">
      <w:pPr>
        <w:pStyle w:val="FootnoteText"/>
        <w:ind w:hanging="4"/>
        <w:jc w:val="both"/>
        <w:rPr>
          <w:rFonts w:ascii="Times New Roman" w:hAnsi="Times New Roman" w:cs="Times New Roman"/>
        </w:rPr>
      </w:pPr>
      <w:r w:rsidRPr="00D06D4E">
        <w:rPr>
          <w:rStyle w:val="FootnoteReference"/>
          <w:rFonts w:cs="Times New Roman"/>
          <w:sz w:val="20"/>
        </w:rPr>
        <w:footnoteRef/>
      </w:r>
      <w:r w:rsidRPr="00D06D4E">
        <w:rPr>
          <w:rFonts w:ascii="Times New Roman" w:hAnsi="Times New Roman" w:cs="Times New Roman"/>
        </w:rPr>
        <w:t xml:space="preserve"> </w:t>
      </w:r>
      <w:r w:rsidRPr="00D06D4E">
        <w:rPr>
          <w:rFonts w:ascii="Times New Roman" w:hAnsi="Times New Roman" w:cs="Times New Roman"/>
          <w:snapToGrid w:val="0"/>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30" w:rsidRPr="008C2B87" w:rsidRDefault="0060262B" w:rsidP="00EC64D7">
    <w:pPr>
      <w:pStyle w:val="Header"/>
      <w:jc w:val="right"/>
      <w:rPr>
        <w:b/>
        <w:i/>
      </w:rPr>
    </w:pPr>
  </w:p>
  <w:p w:rsidR="00E86C30" w:rsidRDefault="0060262B"/>
  <w:p w:rsidR="00E86C30" w:rsidRDefault="0060262B"/>
  <w:p w:rsidR="00E86C30" w:rsidRDefault="0060262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1" w15:restartNumberingAfterBreak="0">
    <w:nsid w:val="1BC22A1B"/>
    <w:multiLevelType w:val="hybridMultilevel"/>
    <w:tmpl w:val="857EC7F4"/>
    <w:lvl w:ilvl="0" w:tplc="18748518">
      <w:start w:val="4"/>
      <w:numFmt w:val="upperRoman"/>
      <w:lvlText w:val="%1."/>
      <w:lvlJc w:val="left"/>
      <w:pPr>
        <w:ind w:left="2280" w:hanging="720"/>
      </w:pPr>
      <w:rPr>
        <w:rFonts w:hint="default"/>
        <w:b/>
      </w:rPr>
    </w:lvl>
    <w:lvl w:ilvl="1" w:tplc="0402000F">
      <w:start w:val="1"/>
      <w:numFmt w:val="decimal"/>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2" w15:restartNumberingAfterBreak="0">
    <w:nsid w:val="1EA3106D"/>
    <w:multiLevelType w:val="hybridMultilevel"/>
    <w:tmpl w:val="B32894C8"/>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C15604"/>
    <w:multiLevelType w:val="multilevel"/>
    <w:tmpl w:val="A07C58A0"/>
    <w:lvl w:ilvl="0">
      <w:start w:val="1"/>
      <w:numFmt w:val="decimal"/>
      <w:lvlText w:val="%1."/>
      <w:lvlJc w:val="left"/>
      <w:pPr>
        <w:tabs>
          <w:tab w:val="num" w:pos="720"/>
        </w:tabs>
        <w:ind w:left="720" w:hanging="360"/>
      </w:pPr>
      <w:rPr>
        <w:b/>
      </w:rPr>
    </w:lvl>
    <w:lvl w:ilvl="1">
      <w:start w:val="1"/>
      <w:numFmt w:val="decimal"/>
      <w:isLgl/>
      <w:lvlText w:val="%1.%2."/>
      <w:lvlJc w:val="left"/>
      <w:pPr>
        <w:tabs>
          <w:tab w:val="num" w:pos="1429"/>
        </w:tabs>
        <w:ind w:left="1429" w:hanging="720"/>
      </w:pPr>
    </w:lvl>
    <w:lvl w:ilvl="2">
      <w:start w:val="1"/>
      <w:numFmt w:val="decimal"/>
      <w:isLgl/>
      <w:lvlText w:val="%1.%2.%3."/>
      <w:lvlJc w:val="left"/>
      <w:pPr>
        <w:tabs>
          <w:tab w:val="num" w:pos="1778"/>
        </w:tabs>
        <w:ind w:left="1778" w:hanging="720"/>
      </w:pPr>
    </w:lvl>
    <w:lvl w:ilvl="3">
      <w:start w:val="1"/>
      <w:numFmt w:val="decimal"/>
      <w:isLgl/>
      <w:lvlText w:val="%1.%2.%3.%4."/>
      <w:lvlJc w:val="left"/>
      <w:pPr>
        <w:tabs>
          <w:tab w:val="num" w:pos="2487"/>
        </w:tabs>
        <w:ind w:left="2487" w:hanging="1080"/>
      </w:pPr>
    </w:lvl>
    <w:lvl w:ilvl="4">
      <w:start w:val="1"/>
      <w:numFmt w:val="decimal"/>
      <w:isLgl/>
      <w:lvlText w:val="%1.%2.%3.%4.%5."/>
      <w:lvlJc w:val="left"/>
      <w:pPr>
        <w:tabs>
          <w:tab w:val="num" w:pos="2836"/>
        </w:tabs>
        <w:ind w:left="2836" w:hanging="1080"/>
      </w:pPr>
    </w:lvl>
    <w:lvl w:ilvl="5">
      <w:start w:val="1"/>
      <w:numFmt w:val="decimal"/>
      <w:isLgl/>
      <w:lvlText w:val="%1.%2.%3.%4.%5.%6."/>
      <w:lvlJc w:val="left"/>
      <w:pPr>
        <w:tabs>
          <w:tab w:val="num" w:pos="3545"/>
        </w:tabs>
        <w:ind w:left="3545" w:hanging="1440"/>
      </w:pPr>
    </w:lvl>
    <w:lvl w:ilvl="6">
      <w:start w:val="1"/>
      <w:numFmt w:val="decimal"/>
      <w:isLgl/>
      <w:lvlText w:val="%1.%2.%3.%4.%5.%6.%7."/>
      <w:lvlJc w:val="left"/>
      <w:pPr>
        <w:tabs>
          <w:tab w:val="num" w:pos="4254"/>
        </w:tabs>
        <w:ind w:left="4254" w:hanging="1800"/>
      </w:pPr>
    </w:lvl>
    <w:lvl w:ilvl="7">
      <w:start w:val="1"/>
      <w:numFmt w:val="decimal"/>
      <w:isLgl/>
      <w:lvlText w:val="%1.%2.%3.%4.%5.%6.%7.%8."/>
      <w:lvlJc w:val="left"/>
      <w:pPr>
        <w:tabs>
          <w:tab w:val="num" w:pos="4603"/>
        </w:tabs>
        <w:ind w:left="4603" w:hanging="1800"/>
      </w:pPr>
    </w:lvl>
    <w:lvl w:ilvl="8">
      <w:start w:val="1"/>
      <w:numFmt w:val="decimal"/>
      <w:isLgl/>
      <w:lvlText w:val="%1.%2.%3.%4.%5.%6.%7.%8.%9."/>
      <w:lvlJc w:val="left"/>
      <w:pPr>
        <w:tabs>
          <w:tab w:val="num" w:pos="5312"/>
        </w:tabs>
        <w:ind w:left="5312" w:hanging="2160"/>
      </w:pPr>
    </w:lvl>
  </w:abstractNum>
  <w:abstractNum w:abstractNumId="4" w15:restartNumberingAfterBreak="0">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9"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8"/>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9B"/>
    <w:rsid w:val="00025BBC"/>
    <w:rsid w:val="00073F7F"/>
    <w:rsid w:val="000869D2"/>
    <w:rsid w:val="00095513"/>
    <w:rsid w:val="000F384D"/>
    <w:rsid w:val="00111B11"/>
    <w:rsid w:val="0013749F"/>
    <w:rsid w:val="00154306"/>
    <w:rsid w:val="00180A7A"/>
    <w:rsid w:val="0020194E"/>
    <w:rsid w:val="002811B1"/>
    <w:rsid w:val="002955BB"/>
    <w:rsid w:val="002A4FD4"/>
    <w:rsid w:val="002D3338"/>
    <w:rsid w:val="002D7FC7"/>
    <w:rsid w:val="0032269B"/>
    <w:rsid w:val="003356F2"/>
    <w:rsid w:val="00340A95"/>
    <w:rsid w:val="003D4692"/>
    <w:rsid w:val="003E20D3"/>
    <w:rsid w:val="004B235A"/>
    <w:rsid w:val="004C5B91"/>
    <w:rsid w:val="0058767E"/>
    <w:rsid w:val="005A115A"/>
    <w:rsid w:val="005A5ABF"/>
    <w:rsid w:val="0060262B"/>
    <w:rsid w:val="00606528"/>
    <w:rsid w:val="00650130"/>
    <w:rsid w:val="0065479C"/>
    <w:rsid w:val="00677830"/>
    <w:rsid w:val="00691590"/>
    <w:rsid w:val="00691FB7"/>
    <w:rsid w:val="006E0FB7"/>
    <w:rsid w:val="007103ED"/>
    <w:rsid w:val="0071621E"/>
    <w:rsid w:val="00723912"/>
    <w:rsid w:val="00743B4C"/>
    <w:rsid w:val="00754F53"/>
    <w:rsid w:val="00765F9A"/>
    <w:rsid w:val="00777BC0"/>
    <w:rsid w:val="007A0BD9"/>
    <w:rsid w:val="007A64EE"/>
    <w:rsid w:val="007B7704"/>
    <w:rsid w:val="007C0855"/>
    <w:rsid w:val="007D5915"/>
    <w:rsid w:val="00847383"/>
    <w:rsid w:val="00854292"/>
    <w:rsid w:val="008B3398"/>
    <w:rsid w:val="00904293"/>
    <w:rsid w:val="00984E7F"/>
    <w:rsid w:val="0099024D"/>
    <w:rsid w:val="009A35CE"/>
    <w:rsid w:val="009C6968"/>
    <w:rsid w:val="009F1569"/>
    <w:rsid w:val="00A231CC"/>
    <w:rsid w:val="00A25891"/>
    <w:rsid w:val="00A62285"/>
    <w:rsid w:val="00A73039"/>
    <w:rsid w:val="00A76278"/>
    <w:rsid w:val="00B20EA8"/>
    <w:rsid w:val="00B56655"/>
    <w:rsid w:val="00B64208"/>
    <w:rsid w:val="00B83086"/>
    <w:rsid w:val="00BC5649"/>
    <w:rsid w:val="00BD422F"/>
    <w:rsid w:val="00C52AE4"/>
    <w:rsid w:val="00C75913"/>
    <w:rsid w:val="00CB3BBC"/>
    <w:rsid w:val="00CC0B2E"/>
    <w:rsid w:val="00CC2877"/>
    <w:rsid w:val="00CF543D"/>
    <w:rsid w:val="00D06D4E"/>
    <w:rsid w:val="00D23F41"/>
    <w:rsid w:val="00D54035"/>
    <w:rsid w:val="00D57374"/>
    <w:rsid w:val="00DB1C44"/>
    <w:rsid w:val="00DC4FC4"/>
    <w:rsid w:val="00DE1BA1"/>
    <w:rsid w:val="00E26C58"/>
    <w:rsid w:val="00E326A4"/>
    <w:rsid w:val="00E35BA5"/>
    <w:rsid w:val="00E8471F"/>
    <w:rsid w:val="00E93063"/>
    <w:rsid w:val="00EB1594"/>
    <w:rsid w:val="00EB2E08"/>
    <w:rsid w:val="00EC529B"/>
    <w:rsid w:val="00FB03BE"/>
    <w:rsid w:val="00FC2485"/>
    <w:rsid w:val="00FE45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C088E-7B97-42CA-BDF7-DE28AEBE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42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759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52A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2AE4"/>
    <w:rPr>
      <w:sz w:val="20"/>
      <w:szCs w:val="20"/>
    </w:rPr>
  </w:style>
  <w:style w:type="paragraph" w:styleId="Footer">
    <w:name w:val="footer"/>
    <w:basedOn w:val="Normal"/>
    <w:link w:val="FooterChar"/>
    <w:uiPriority w:val="99"/>
    <w:unhideWhenUsed/>
    <w:rsid w:val="00C52AE4"/>
    <w:pPr>
      <w:tabs>
        <w:tab w:val="center" w:pos="4536"/>
        <w:tab w:val="right" w:pos="9072"/>
      </w:tabs>
    </w:pPr>
    <w:rPr>
      <w:rFonts w:ascii="Calibri" w:eastAsia="Calibri" w:hAnsi="Calibri" w:cs="Times New Roman"/>
    </w:rPr>
  </w:style>
  <w:style w:type="character" w:customStyle="1" w:styleId="FooterChar">
    <w:name w:val="Footer Char"/>
    <w:basedOn w:val="DefaultParagraphFont"/>
    <w:link w:val="Footer"/>
    <w:uiPriority w:val="99"/>
    <w:rsid w:val="00C52AE4"/>
    <w:rPr>
      <w:rFonts w:ascii="Calibri" w:eastAsia="Calibri" w:hAnsi="Calibri" w:cs="Times New Roman"/>
    </w:rPr>
  </w:style>
  <w:style w:type="paragraph" w:styleId="Header">
    <w:name w:val="header"/>
    <w:basedOn w:val="Normal"/>
    <w:link w:val="HeaderChar"/>
    <w:uiPriority w:val="99"/>
    <w:unhideWhenUsed/>
    <w:rsid w:val="00C52AE4"/>
    <w:pPr>
      <w:tabs>
        <w:tab w:val="center" w:pos="4536"/>
        <w:tab w:val="right" w:pos="9072"/>
      </w:tabs>
    </w:pPr>
    <w:rPr>
      <w:rFonts w:ascii="Calibri" w:eastAsia="Calibri" w:hAnsi="Calibri" w:cs="Times New Roman"/>
    </w:rPr>
  </w:style>
  <w:style w:type="character" w:customStyle="1" w:styleId="HeaderChar">
    <w:name w:val="Header Char"/>
    <w:basedOn w:val="DefaultParagraphFont"/>
    <w:link w:val="Header"/>
    <w:uiPriority w:val="99"/>
    <w:rsid w:val="00C52AE4"/>
    <w:rPr>
      <w:rFonts w:ascii="Calibri" w:eastAsia="Calibri" w:hAnsi="Calibri" w:cs="Times New Roman"/>
    </w:rPr>
  </w:style>
  <w:style w:type="character" w:styleId="PageNumber">
    <w:name w:val="page number"/>
    <w:rsid w:val="00C52AE4"/>
  </w:style>
  <w:style w:type="character" w:styleId="FootnoteReference">
    <w:name w:val="footnote reference"/>
    <w:uiPriority w:val="99"/>
    <w:semiHidden/>
    <w:rsid w:val="00C52AE4"/>
    <w:rPr>
      <w:rFonts w:ascii="Times New Roman" w:hAnsi="Times New Roman"/>
      <w:sz w:val="18"/>
      <w:vertAlign w:val="superscript"/>
    </w:rPr>
  </w:style>
  <w:style w:type="character" w:styleId="Hyperlink">
    <w:name w:val="Hyperlink"/>
    <w:basedOn w:val="DefaultParagraphFont"/>
    <w:uiPriority w:val="99"/>
    <w:unhideWhenUsed/>
    <w:rsid w:val="00340A95"/>
    <w:rPr>
      <w:color w:val="0000FF" w:themeColor="hyperlink"/>
      <w:u w:val="single"/>
    </w:rPr>
  </w:style>
  <w:style w:type="character" w:customStyle="1" w:styleId="Heading2Char">
    <w:name w:val="Heading 2 Char"/>
    <w:basedOn w:val="DefaultParagraphFont"/>
    <w:link w:val="Heading2"/>
    <w:uiPriority w:val="9"/>
    <w:semiHidden/>
    <w:rsid w:val="00C75913"/>
    <w:rPr>
      <w:rFonts w:asciiTheme="majorHAnsi" w:eastAsiaTheme="majorEastAsia" w:hAnsiTheme="majorHAnsi" w:cstheme="majorBidi"/>
      <w:b/>
      <w:bCs/>
      <w:color w:val="4F81BD" w:themeColor="accent1"/>
      <w:sz w:val="26"/>
      <w:szCs w:val="26"/>
    </w:rPr>
  </w:style>
  <w:style w:type="character" w:customStyle="1" w:styleId="ListParagraphChar">
    <w:name w:val="List Paragraph Char"/>
    <w:aliases w:val="List1 Char,List Paragraph1 Char,ПАРАГРАФ Char"/>
    <w:basedOn w:val="DefaultParagraphFont"/>
    <w:link w:val="ListParagraph"/>
    <w:uiPriority w:val="34"/>
    <w:locked/>
    <w:rsid w:val="00C75913"/>
  </w:style>
  <w:style w:type="paragraph" w:styleId="ListParagraph">
    <w:name w:val="List Paragraph"/>
    <w:aliases w:val="List1,List Paragraph1,ПАРАГРАФ"/>
    <w:basedOn w:val="Normal"/>
    <w:link w:val="ListParagraphChar"/>
    <w:uiPriority w:val="34"/>
    <w:qFormat/>
    <w:rsid w:val="00C75913"/>
    <w:pPr>
      <w:ind w:left="720"/>
      <w:contextualSpacing/>
    </w:pPr>
  </w:style>
  <w:style w:type="paragraph" w:styleId="BalloonText">
    <w:name w:val="Balloon Text"/>
    <w:basedOn w:val="Normal"/>
    <w:link w:val="BalloonTextChar"/>
    <w:uiPriority w:val="99"/>
    <w:semiHidden/>
    <w:unhideWhenUsed/>
    <w:rsid w:val="00025B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BBC"/>
    <w:rPr>
      <w:rFonts w:ascii="Segoe UI" w:hAnsi="Segoe UI" w:cs="Segoe UI"/>
      <w:sz w:val="18"/>
      <w:szCs w:val="18"/>
    </w:rPr>
  </w:style>
  <w:style w:type="character" w:customStyle="1" w:styleId="Heading1Char">
    <w:name w:val="Heading 1 Char"/>
    <w:basedOn w:val="DefaultParagraphFont"/>
    <w:link w:val="Heading1"/>
    <w:uiPriority w:val="9"/>
    <w:rsid w:val="00B64208"/>
    <w:rPr>
      <w:rFonts w:asciiTheme="majorHAnsi" w:eastAsiaTheme="majorEastAsia" w:hAnsiTheme="majorHAnsi" w:cstheme="majorBidi"/>
      <w:b/>
      <w:bCs/>
      <w:color w:val="365F91" w:themeColor="accent1" w:themeShade="BF"/>
      <w:sz w:val="28"/>
      <w:szCs w:val="28"/>
    </w:rPr>
  </w:style>
  <w:style w:type="character" w:customStyle="1" w:styleId="Heading3">
    <w:name w:val="Heading #3_"/>
    <w:basedOn w:val="DefaultParagraphFont"/>
    <w:link w:val="Heading30"/>
    <w:uiPriority w:val="99"/>
    <w:locked/>
    <w:rsid w:val="00B64208"/>
    <w:rPr>
      <w:rFonts w:ascii="Times New Roman" w:hAnsi="Times New Roman" w:cs="Times New Roman"/>
      <w:b/>
      <w:bCs/>
      <w:sz w:val="32"/>
      <w:szCs w:val="32"/>
      <w:shd w:val="clear" w:color="auto" w:fill="FFFFFF"/>
    </w:rPr>
  </w:style>
  <w:style w:type="paragraph" w:customStyle="1" w:styleId="Heading30">
    <w:name w:val="Heading #3"/>
    <w:basedOn w:val="Normal"/>
    <w:link w:val="Heading3"/>
    <w:uiPriority w:val="99"/>
    <w:rsid w:val="00B64208"/>
    <w:pPr>
      <w:widowControl w:val="0"/>
      <w:shd w:val="clear" w:color="auto" w:fill="FFFFFF"/>
      <w:spacing w:after="420" w:line="240" w:lineRule="atLeast"/>
      <w:jc w:val="center"/>
      <w:outlineLvl w:val="2"/>
    </w:pPr>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89832">
      <w:bodyDiv w:val="1"/>
      <w:marLeft w:val="0"/>
      <w:marRight w:val="0"/>
      <w:marTop w:val="0"/>
      <w:marBottom w:val="0"/>
      <w:divBdr>
        <w:top w:val="none" w:sz="0" w:space="0" w:color="auto"/>
        <w:left w:val="none" w:sz="0" w:space="0" w:color="auto"/>
        <w:bottom w:val="none" w:sz="0" w:space="0" w:color="auto"/>
        <w:right w:val="none" w:sz="0" w:space="0" w:color="auto"/>
      </w:divBdr>
    </w:div>
    <w:div w:id="519469079">
      <w:bodyDiv w:val="1"/>
      <w:marLeft w:val="0"/>
      <w:marRight w:val="0"/>
      <w:marTop w:val="0"/>
      <w:marBottom w:val="0"/>
      <w:divBdr>
        <w:top w:val="none" w:sz="0" w:space="0" w:color="auto"/>
        <w:left w:val="none" w:sz="0" w:space="0" w:color="auto"/>
        <w:bottom w:val="none" w:sz="0" w:space="0" w:color="auto"/>
        <w:right w:val="none" w:sz="0" w:space="0" w:color="auto"/>
      </w:divBdr>
    </w:div>
    <w:div w:id="1962027358">
      <w:bodyDiv w:val="1"/>
      <w:marLeft w:val="0"/>
      <w:marRight w:val="0"/>
      <w:marTop w:val="0"/>
      <w:marBottom w:val="0"/>
      <w:divBdr>
        <w:top w:val="none" w:sz="0" w:space="0" w:color="auto"/>
        <w:left w:val="none" w:sz="0" w:space="0" w:color="auto"/>
        <w:bottom w:val="none" w:sz="0" w:space="0" w:color="auto"/>
        <w:right w:val="none" w:sz="0" w:space="0" w:color="auto"/>
      </w:divBdr>
    </w:div>
    <w:div w:id="198006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8-0020_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nb.bg" TargetMode="Externa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ublicprocurement@bnbank.or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8333</Words>
  <Characters>47503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Росен Стефанов</cp:lastModifiedBy>
  <cp:revision>44</cp:revision>
  <dcterms:created xsi:type="dcterms:W3CDTF">2018-04-24T12:56:00Z</dcterms:created>
  <dcterms:modified xsi:type="dcterms:W3CDTF">2018-07-17T06:02:00Z</dcterms:modified>
</cp:coreProperties>
</file>