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D9" w:rsidRDefault="00516CD3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Pr="00666C59" w:rsidRDefault="006C05D9" w:rsidP="009E5768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666C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9E5768">
      <w:pPr>
        <w:spacing w:before="120"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C05D9" w:rsidRPr="00AE6FF9" w:rsidRDefault="006C05D9" w:rsidP="009E576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C05D9" w:rsidRPr="00AE6FF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6C05D9" w:rsidRPr="006C05D9" w:rsidRDefault="006C05D9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B90692" w:rsidRPr="00B90692" w:rsidRDefault="00B90692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IBAN: ... ;</w:t>
      </w:r>
    </w:p>
    <w:p w:rsidR="00B90692" w:rsidRPr="00B90692" w:rsidRDefault="00B90692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BIC: ... ;</w:t>
      </w:r>
    </w:p>
    <w:p w:rsidR="00B90692" w:rsidRPr="00B90692" w:rsidRDefault="00B90692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банка: ... ;</w:t>
      </w:r>
    </w:p>
    <w:p w:rsidR="00154867" w:rsidRPr="00AE6FF9" w:rsidRDefault="00B90692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град/клон/офис: ...</w:t>
      </w:r>
    </w:p>
    <w:p w:rsidR="00516CD3" w:rsidRPr="00AE6FF9" w:rsidRDefault="00516CD3" w:rsidP="009E5768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744EF" w:rsidRDefault="00516CD3" w:rsidP="009744EF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  <w:r w:rsidR="009744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952F62" w:rsidRPr="00401917" w:rsidRDefault="00C62A57" w:rsidP="00952F62">
      <w:pPr>
        <w:tabs>
          <w:tab w:val="left" w:pos="-72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</w:t>
      </w:r>
      <w:r w:rsidR="003E0B8E">
        <w:rPr>
          <w:rFonts w:ascii="Times New Roman" w:eastAsia="Times New Roman" w:hAnsi="Times New Roman" w:cs="Times New Roman"/>
          <w:sz w:val="24"/>
          <w:szCs w:val="24"/>
          <w:lang w:eastAsia="bg-BG"/>
        </w:rPr>
        <w:t>ение за участие в обявената от в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ас </w:t>
      </w:r>
      <w:r w:rsidR="00BC6612">
        <w:rPr>
          <w:rFonts w:ascii="Times New Roman" w:eastAsia="Times New Roman" w:hAnsi="Times New Roman" w:cs="Times New Roman"/>
          <w:sz w:val="24"/>
          <w:szCs w:val="24"/>
          <w:lang w:eastAsia="bg-BG"/>
        </w:rPr>
        <w:t>„открита процедура</w:t>
      </w:r>
      <w:r w:rsidR="003E0B8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BC6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обществена </w:t>
      </w:r>
      <w:r w:rsidR="00516CD3"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BC6612">
        <w:rPr>
          <w:rFonts w:ascii="Times New Roman" w:hAnsi="Times New Roman" w:cs="Times New Roman"/>
          <w:sz w:val="24"/>
          <w:szCs w:val="24"/>
        </w:rPr>
        <w:t>1</w:t>
      </w:r>
      <w:r w:rsidR="00EE5638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BC6612">
        <w:rPr>
          <w:rFonts w:ascii="Times New Roman" w:hAnsi="Times New Roman" w:cs="Times New Roman"/>
          <w:sz w:val="24"/>
          <w:szCs w:val="24"/>
        </w:rPr>
        <w:t>73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3B56AD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6B4D59">
        <w:rPr>
          <w:rFonts w:ascii="Times New Roman" w:hAnsi="Times New Roman" w:cs="Times New Roman"/>
          <w:sz w:val="24"/>
          <w:szCs w:val="24"/>
        </w:rPr>
        <w:t>„</w:t>
      </w:r>
      <w:r w:rsidR="00BC6612" w:rsidRPr="00835DDB">
        <w:rPr>
          <w:rFonts w:ascii="Times New Roman" w:hAnsi="Times New Roman"/>
          <w:sz w:val="24"/>
          <w:szCs w:val="24"/>
        </w:rPr>
        <w:t xml:space="preserve">Доставка  на лицензи за софтуерни продукти за нуждите на </w:t>
      </w:r>
      <w:r w:rsidR="00214057">
        <w:rPr>
          <w:rFonts w:ascii="Times New Roman" w:hAnsi="Times New Roman"/>
          <w:sz w:val="24"/>
          <w:szCs w:val="24"/>
        </w:rPr>
        <w:t>Българската народна банка (</w:t>
      </w:r>
      <w:r w:rsidR="00BC6612" w:rsidRPr="00835DDB">
        <w:rPr>
          <w:rFonts w:ascii="Times New Roman" w:hAnsi="Times New Roman"/>
          <w:sz w:val="24"/>
          <w:szCs w:val="24"/>
        </w:rPr>
        <w:t>БНБ</w:t>
      </w:r>
      <w:r w:rsidR="00214057">
        <w:rPr>
          <w:rFonts w:ascii="Times New Roman" w:hAnsi="Times New Roman"/>
          <w:sz w:val="24"/>
          <w:szCs w:val="24"/>
        </w:rPr>
        <w:t>)</w:t>
      </w:r>
      <w:r w:rsidR="00BC6612" w:rsidRPr="00835DDB">
        <w:rPr>
          <w:rFonts w:ascii="Times New Roman" w:hAnsi="Times New Roman"/>
          <w:sz w:val="24"/>
          <w:szCs w:val="24"/>
        </w:rPr>
        <w:t xml:space="preserve">, предоставящи право на ползване и техническа </w:t>
      </w:r>
      <w:proofErr w:type="spellStart"/>
      <w:r w:rsidR="00BC6612" w:rsidRPr="00835DDB">
        <w:rPr>
          <w:rFonts w:ascii="Times New Roman" w:hAnsi="Times New Roman"/>
          <w:sz w:val="24"/>
          <w:szCs w:val="24"/>
          <w:lang w:val="ru-RU"/>
        </w:rPr>
        <w:t>поддръжка</w:t>
      </w:r>
      <w:proofErr w:type="spellEnd"/>
      <w:r w:rsidR="00BC6612" w:rsidRPr="00835DDB">
        <w:rPr>
          <w:rFonts w:ascii="Times New Roman" w:hAnsi="Times New Roman"/>
          <w:sz w:val="24"/>
          <w:szCs w:val="24"/>
        </w:rPr>
        <w:t xml:space="preserve"> на съответните продукти</w:t>
      </w:r>
      <w:r w:rsidR="00B95E7D" w:rsidRPr="006B4D59">
        <w:rPr>
          <w:rFonts w:ascii="Times New Roman" w:hAnsi="Times New Roman" w:cs="Times New Roman"/>
          <w:sz w:val="24"/>
          <w:szCs w:val="24"/>
        </w:rPr>
        <w:t>“</w:t>
      </w:r>
      <w:r w:rsidR="00401917" w:rsidRPr="004019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3239" w:rsidRPr="00C62A57" w:rsidRDefault="009E5768" w:rsidP="00C62A57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</w:rPr>
      </w:pPr>
      <w:r w:rsidRPr="009E576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</w:rPr>
        <w:t>ПРЕДЛОЖЕНИЕ ЗA ИЗПЪЛНЕНИЕ</w:t>
      </w:r>
      <w:r w:rsidRPr="009E576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val="en-US"/>
        </w:rPr>
        <w:t> </w:t>
      </w:r>
      <w:r w:rsidRPr="009E576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</w:rPr>
        <w:t>НА</w:t>
      </w:r>
      <w:r w:rsidRPr="009E576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val="en-US"/>
        </w:rPr>
        <w:t> </w:t>
      </w:r>
      <w:r w:rsidR="006C05D9" w:rsidRPr="009E5768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</w:rPr>
        <w:t>ПОРЪЧКАТА</w:t>
      </w:r>
    </w:p>
    <w:p w:rsidR="00F303BD" w:rsidRDefault="00923239" w:rsidP="00F303BD">
      <w:pPr>
        <w:spacing w:before="120" w:line="36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ab/>
      </w:r>
      <w:r w:rsidR="009744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1. </w:t>
      </w:r>
      <w:r w:rsidR="00516CD3" w:rsidRPr="0092323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представляваният от мен участник ще изпълни поръчката,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16CD3" w:rsidRPr="0092323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съобразявайки се с услови</w:t>
      </w:r>
      <w:r w:rsidR="005C3B73" w:rsidRPr="0092323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ята по изпълнение, посочени от в</w:t>
      </w:r>
      <w:r w:rsidR="00516CD3" w:rsidRPr="0092323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ъзложителя в документацията за </w:t>
      </w:r>
      <w:r w:rsid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обществената поръчка</w:t>
      </w:r>
      <w:r w:rsidR="00516CD3" w:rsidRPr="0092323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952F62" w:rsidRDefault="009744EF" w:rsidP="00F303BD">
      <w:pPr>
        <w:spacing w:before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2.</w:t>
      </w:r>
      <w:r w:rsidR="00952F62"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303BD"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Задължаваме де да доставим </w:t>
      </w:r>
      <w:r w:rsidR="00952F62"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лицензи за софтуерни продукти, </w:t>
      </w:r>
      <w:r w:rsidR="00983BA8"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вид и количество, </w:t>
      </w:r>
      <w:r w:rsidR="00952F62"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както следва: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082"/>
        <w:gridCol w:w="2551"/>
        <w:gridCol w:w="1985"/>
      </w:tblGrid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680"/>
              <w:rPr>
                <w:rFonts w:ascii="Arial Unicode MS" w:eastAsia="Arial Unicode MS" w:hAnsi="Arial Unicode MS" w:cs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ascii="Arial Unicode MS" w:eastAsia="Arial Unicode MS" w:hAnsi="Arial Unicode MS" w:cs="Arial Unicode MS"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633" w:type="dxa"/>
            <w:gridSpan w:val="2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Oracle </w:t>
            </w:r>
            <w:proofErr w:type="spellStart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лицензи</w:t>
            </w:r>
            <w:proofErr w:type="spellEnd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еквиваленти</w:t>
            </w:r>
            <w:proofErr w:type="spellEnd"/>
            <w:r w:rsidRPr="00415F19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Unicode MS" w:eastAsia="Arial Unicode MS" w:hAnsi="Arial Unicode MS" w:cs="Arial Unicode MS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Продукти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Вид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лиценз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Брой</w:t>
            </w:r>
            <w:proofErr w:type="spellEnd"/>
            <w:r w:rsidRPr="00415F19" w:rsidDel="003E1DCC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Database Enterprise Edition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 (full use license)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vertAlign w:val="superscript"/>
                <w:lang w:val="en-US"/>
              </w:rPr>
              <w:footnoteReference w:id="1"/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Real Application Clusters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</w:t>
            </w:r>
          </w:p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(full use license)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Partitioning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</w:t>
            </w:r>
          </w:p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(full use)license 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Diagnostics Pack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</w:t>
            </w:r>
          </w:p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(full use license)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Tuning Pack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</w:t>
            </w:r>
          </w:p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(full use license)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</w:tr>
      <w:tr w:rsidR="005151E9" w:rsidRPr="00415F19" w:rsidTr="00011BFC">
        <w:tc>
          <w:tcPr>
            <w:tcW w:w="426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415F19">
              <w:rPr>
                <w:rFonts w:eastAsia="Arial Unicode MS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2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Data Masking and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Subsetting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еквивалент</w:t>
            </w:r>
            <w:proofErr w:type="spellEnd"/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Processor perpetual</w:t>
            </w:r>
          </w:p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(full use license)</w:t>
            </w:r>
          </w:p>
        </w:tc>
        <w:tc>
          <w:tcPr>
            <w:tcW w:w="1985" w:type="dxa"/>
            <w:shd w:val="clear" w:color="auto" w:fill="auto"/>
          </w:tcPr>
          <w:p w:rsidR="005151E9" w:rsidRPr="00415F19" w:rsidRDefault="005151E9" w:rsidP="00D94C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</w:pPr>
            <w:r w:rsidRPr="00415F19">
              <w:rPr>
                <w:rFonts w:eastAsia="Arial Unicode MS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:rsidR="005151E9" w:rsidRDefault="005151E9" w:rsidP="00952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952F62" w:rsidRDefault="00952F62" w:rsidP="00952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952F62" w:rsidRPr="00952F62" w:rsidRDefault="00C62A57" w:rsidP="00952F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Забележка: </w:t>
      </w:r>
      <w:r w:rsidR="00952F62" w:rsidRP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В случай че участникът предлага </w:t>
      </w:r>
      <w:r w:rsid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>софтуерни</w:t>
      </w:r>
      <w:r w:rsidR="00952F62" w:rsidRP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продукти </w:t>
      </w:r>
      <w:r w:rsidR="00F303BD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на </w:t>
      </w:r>
      <w:r w:rsidR="00F303B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Oracle</w:t>
      </w:r>
      <w:r w:rsidR="00F303BD">
        <w:rPr>
          <w:rFonts w:ascii="Times New Roman" w:eastAsia="Times New Roman" w:hAnsi="Times New Roman" w:cs="Times New Roman"/>
          <w:sz w:val="20"/>
          <w:szCs w:val="20"/>
          <w:lang w:eastAsia="bg-BG"/>
        </w:rPr>
        <w:t>, от колона № 1</w:t>
      </w:r>
      <w:r w:rsidR="00952F62" w:rsidRP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се изтрива „или еквивалент“</w:t>
      </w:r>
      <w:r w:rsidR="00F303B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.</w:t>
      </w:r>
      <w:r w:rsidR="00952F62" w:rsidRP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В случай че участникът предлага еквивалентни п</w:t>
      </w:r>
      <w:r w:rsidR="00F303BD">
        <w:rPr>
          <w:rFonts w:ascii="Times New Roman" w:eastAsia="Times New Roman" w:hAnsi="Times New Roman" w:cs="Times New Roman"/>
          <w:sz w:val="20"/>
          <w:szCs w:val="20"/>
          <w:lang w:eastAsia="bg-BG"/>
        </w:rPr>
        <w:t>рограмни продукти, то в колона № 1</w:t>
      </w:r>
      <w:r w:rsidR="00952F62" w:rsidRPr="00952F6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се дава тяхното еквивалентно наименование.</w:t>
      </w:r>
    </w:p>
    <w:p w:rsidR="00952F62" w:rsidRDefault="00952F62" w:rsidP="00952F62">
      <w:pPr>
        <w:pStyle w:val="BodyTextIndent12pt"/>
        <w:spacing w:after="0" w:line="360" w:lineRule="auto"/>
        <w:ind w:firstLine="567"/>
        <w:rPr>
          <w:lang w:val="en-US"/>
        </w:rPr>
      </w:pPr>
    </w:p>
    <w:p w:rsidR="00983BA8" w:rsidRPr="00983BA8" w:rsidRDefault="00983BA8" w:rsidP="00983BA8">
      <w:pPr>
        <w:spacing w:before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3. Лицензите ще </w:t>
      </w:r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предоставят право на инсталиране и ползване от възложителя на последната версия на съответните софтуерни продукти; включват техническа поддръжка на софтуерните продукти, за срок от 1 (една) година без допълнително </w:t>
      </w:r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заплащане от възложителя. След изтичане срока на техническата поддръжка на продуктите възложителят ще има право да продължи да използва съответните софтуерни продукти неограничено във времето и във вида, в който са към момента на изтичане срока на техническата поддръжка. </w:t>
      </w:r>
    </w:p>
    <w:p w:rsidR="00983BA8" w:rsidRPr="00983BA8" w:rsidRDefault="00983BA8" w:rsidP="00983BA8">
      <w:pPr>
        <w:spacing w:before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 Техническата поддръжка ще се извършва в съответствие с </w:t>
      </w:r>
      <w:bookmarkStart w:id="1" w:name="_Hlk498862745"/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Общите условията на производителя (</w:t>
      </w:r>
      <w:proofErr w:type="spellStart"/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лицензодателя</w:t>
      </w:r>
      <w:proofErr w:type="spellEnd"/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 относно техническа поддръжка на съответните софтуерни продукти</w:t>
      </w:r>
      <w:bookmarkEnd w:id="1"/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като едновременно с това задължително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</w:t>
      </w:r>
      <w:r w:rsidRPr="00983B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отговаря и на следните изисквания:</w:t>
      </w:r>
    </w:p>
    <w:p w:rsidR="00983BA8" w:rsidRPr="00880934" w:rsidRDefault="00983BA8" w:rsidP="00983BA8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>4.</w:t>
      </w:r>
      <w:r w:rsidRPr="00880934">
        <w:rPr>
          <w:b w:val="0"/>
          <w:sz w:val="24"/>
        </w:rPr>
        <w:t xml:space="preserve">1. Техническата поддръжка </w:t>
      </w:r>
      <w:r>
        <w:rPr>
          <w:b w:val="0"/>
          <w:sz w:val="24"/>
        </w:rPr>
        <w:t>ще</w:t>
      </w:r>
      <w:r w:rsidRPr="00880934">
        <w:rPr>
          <w:b w:val="0"/>
          <w:sz w:val="24"/>
        </w:rPr>
        <w:t xml:space="preserve"> осигурява право на подобрения на продуктите (</w:t>
      </w:r>
      <w:r w:rsidRPr="00880934">
        <w:rPr>
          <w:b w:val="0"/>
          <w:sz w:val="24"/>
          <w:lang w:val="en-US"/>
        </w:rPr>
        <w:t>upgrades</w:t>
      </w:r>
      <w:r w:rsidRPr="00880934">
        <w:rPr>
          <w:b w:val="0"/>
          <w:sz w:val="24"/>
        </w:rPr>
        <w:t>), което право на подобрения включва получаване на: нови версии на съответния софтуер (</w:t>
      </w:r>
      <w:r w:rsidRPr="00880934">
        <w:rPr>
          <w:b w:val="0"/>
          <w:sz w:val="24"/>
          <w:lang w:val="en-US"/>
        </w:rPr>
        <w:t xml:space="preserve">new versions and new releases) </w:t>
      </w:r>
      <w:r w:rsidRPr="00880934">
        <w:rPr>
          <w:b w:val="0"/>
          <w:sz w:val="24"/>
        </w:rPr>
        <w:t>и необходимите за безпроблемното функциониране на продуктите софтуерни модули (</w:t>
      </w:r>
      <w:r w:rsidRPr="00880934">
        <w:rPr>
          <w:b w:val="0"/>
          <w:sz w:val="24"/>
          <w:lang w:val="en-US"/>
        </w:rPr>
        <w:t>software patches)</w:t>
      </w:r>
      <w:r>
        <w:rPr>
          <w:b w:val="0"/>
          <w:sz w:val="24"/>
        </w:rPr>
        <w:t xml:space="preserve"> и поправка на софтуерните продукти</w:t>
      </w:r>
      <w:r w:rsidRPr="00880934">
        <w:rPr>
          <w:b w:val="0"/>
          <w:sz w:val="24"/>
        </w:rPr>
        <w:t>.</w:t>
      </w:r>
    </w:p>
    <w:p w:rsidR="00983BA8" w:rsidRPr="00880934" w:rsidRDefault="00983BA8" w:rsidP="00983BA8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>4.</w:t>
      </w:r>
      <w:r w:rsidRPr="00880934">
        <w:rPr>
          <w:b w:val="0"/>
          <w:sz w:val="24"/>
        </w:rPr>
        <w:t>2. Техническата поддръжка се осъществява 24 часа в денонощието</w:t>
      </w:r>
      <w:r>
        <w:rPr>
          <w:b w:val="0"/>
          <w:sz w:val="24"/>
        </w:rPr>
        <w:t>, седем дни в седми</w:t>
      </w:r>
      <w:r w:rsidRPr="00880934">
        <w:rPr>
          <w:b w:val="0"/>
          <w:sz w:val="24"/>
        </w:rPr>
        <w:t>ата, вкл. почивните и празнични дни</w:t>
      </w:r>
      <w:r w:rsidR="00011BFC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и </w:t>
      </w:r>
      <w:r w:rsidR="00011BFC">
        <w:rPr>
          <w:b w:val="0"/>
          <w:sz w:val="24"/>
        </w:rPr>
        <w:t xml:space="preserve">включва </w:t>
      </w:r>
      <w:r>
        <w:rPr>
          <w:b w:val="0"/>
          <w:sz w:val="24"/>
        </w:rPr>
        <w:t>изпращане на запитвания при възникнали пролеми</w:t>
      </w:r>
      <w:r w:rsidRPr="00880934">
        <w:rPr>
          <w:b w:val="0"/>
          <w:sz w:val="24"/>
        </w:rPr>
        <w:t xml:space="preserve">.  </w:t>
      </w:r>
    </w:p>
    <w:p w:rsidR="005151E9" w:rsidRPr="00E35CFC" w:rsidRDefault="00983BA8" w:rsidP="005151E9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>4.</w:t>
      </w:r>
      <w:r w:rsidRPr="00880934">
        <w:rPr>
          <w:b w:val="0"/>
          <w:sz w:val="24"/>
        </w:rPr>
        <w:t xml:space="preserve">3. Техническата поддръжка включва право на директен неограничен достъп от служители на </w:t>
      </w:r>
      <w:r w:rsidRPr="00983BA8">
        <w:rPr>
          <w:b w:val="0"/>
          <w:sz w:val="24"/>
        </w:rPr>
        <w:t>възложителя</w:t>
      </w:r>
      <w:r w:rsidRPr="00880934">
        <w:rPr>
          <w:b w:val="0"/>
          <w:sz w:val="24"/>
        </w:rPr>
        <w:t xml:space="preserve"> до ресурси на производителя (лицензодателя) </w:t>
      </w:r>
      <w:r w:rsidR="005151E9" w:rsidRPr="00840458">
        <w:rPr>
          <w:b w:val="0"/>
          <w:sz w:val="24"/>
        </w:rPr>
        <w:t>чрез уеб базирана система за клиентска поддръжка за техническа помощ във връзка с инсталацията, работа със софтуера и други специфични въпроси по поддръжка на продуктите</w:t>
      </w:r>
      <w:r w:rsidR="005151E9" w:rsidRPr="00536C1A">
        <w:rPr>
          <w:b w:val="0"/>
          <w:sz w:val="24"/>
        </w:rPr>
        <w:t>.</w:t>
      </w:r>
    </w:p>
    <w:p w:rsidR="00983BA8" w:rsidRDefault="00983BA8" w:rsidP="00983BA8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 xml:space="preserve">5. </w:t>
      </w:r>
      <w:r w:rsidRPr="00983BA8">
        <w:rPr>
          <w:b w:val="0"/>
          <w:sz w:val="24"/>
        </w:rPr>
        <w:t>Доставката на всички лицензи, описани в т.</w:t>
      </w:r>
      <w:r w:rsidR="005151E9">
        <w:rPr>
          <w:b w:val="0"/>
          <w:sz w:val="24"/>
          <w:lang w:val="en-US"/>
        </w:rPr>
        <w:t xml:space="preserve"> 2</w:t>
      </w:r>
      <w:r w:rsidRPr="00983BA8">
        <w:rPr>
          <w:b w:val="0"/>
          <w:sz w:val="24"/>
        </w:rPr>
        <w:t xml:space="preserve"> ще бъде извършена в срок до ……..(……….) календарни дни от датата на сключване на договора като доставката ще бъде извършена в деня на издаване на лицензите от производителя (лицензодателя). </w:t>
      </w:r>
    </w:p>
    <w:p w:rsidR="00983BA8" w:rsidRPr="00983BA8" w:rsidRDefault="00983BA8" w:rsidP="00983BA8">
      <w:pPr>
        <w:pStyle w:val="Title"/>
        <w:spacing w:line="360" w:lineRule="auto"/>
        <w:ind w:firstLine="708"/>
        <w:jc w:val="both"/>
        <w:rPr>
          <w:b w:val="0"/>
          <w:sz w:val="24"/>
        </w:rPr>
      </w:pPr>
      <w:r>
        <w:rPr>
          <w:b w:val="0"/>
          <w:sz w:val="24"/>
        </w:rPr>
        <w:t>Забележка: Участниците посочват срок за доставка, който не може да бъде по-дълъг от 10 (десет) календарни дни.</w:t>
      </w:r>
    </w:p>
    <w:p w:rsidR="00983BA8" w:rsidRDefault="00983BA8" w:rsidP="00983BA8">
      <w:pPr>
        <w:pStyle w:val="BodyTextIndent12pt"/>
        <w:spacing w:after="0" w:line="360" w:lineRule="auto"/>
        <w:ind w:firstLine="567"/>
        <w:rPr>
          <w:lang w:val="bg-BG"/>
        </w:rPr>
      </w:pPr>
      <w:r>
        <w:rPr>
          <w:lang w:val="bg-BG"/>
        </w:rPr>
        <w:t>6. Задължаваме се д</w:t>
      </w:r>
      <w:r w:rsidRPr="00880934">
        <w:rPr>
          <w:lang w:val="bg-BG"/>
        </w:rPr>
        <w:t xml:space="preserve">а </w:t>
      </w:r>
      <w:r>
        <w:rPr>
          <w:lang w:val="bg-BG"/>
        </w:rPr>
        <w:t>предоставим в срока по т. 5 документ от производителя на софтуера или официален негов представителя, удостоверяващ лицензирането на софтуерните продукти</w:t>
      </w:r>
      <w:r>
        <w:rPr>
          <w:lang w:val="en-US"/>
        </w:rPr>
        <w:t xml:space="preserve"> </w:t>
      </w:r>
      <w:r>
        <w:rPr>
          <w:lang w:val="bg-BG"/>
        </w:rPr>
        <w:t xml:space="preserve">и срока на техническата поддръжка, както и да предостави </w:t>
      </w:r>
      <w:r>
        <w:rPr>
          <w:lang w:val="en-US"/>
        </w:rPr>
        <w:t xml:space="preserve">CSI (Customer Support Identification) </w:t>
      </w:r>
      <w:r>
        <w:rPr>
          <w:lang w:val="bg-BG"/>
        </w:rPr>
        <w:t>код позволяващ: изтегляне на софтуера от официалния сайт на производителя</w:t>
      </w:r>
      <w:bookmarkStart w:id="2" w:name="_Hlk498853800"/>
      <w:r>
        <w:rPr>
          <w:lang w:val="bg-BG"/>
        </w:rPr>
        <w:t>;</w:t>
      </w:r>
      <w:r>
        <w:rPr>
          <w:lang w:val="en-US"/>
        </w:rPr>
        <w:t xml:space="preserve"> </w:t>
      </w:r>
      <w:r>
        <w:rPr>
          <w:lang w:val="bg-BG"/>
        </w:rPr>
        <w:t xml:space="preserve">получаване на нови версии и поправки на софтуерните </w:t>
      </w:r>
      <w:r>
        <w:rPr>
          <w:lang w:val="bg-BG"/>
        </w:rPr>
        <w:lastRenderedPageBreak/>
        <w:t>продукти, както и изпращане на запитвания при възникнали проблеми, в рамките на едногодишния период на техническа поддръжка.</w:t>
      </w:r>
      <w:bookmarkEnd w:id="2"/>
    </w:p>
    <w:p w:rsidR="00983BA8" w:rsidRPr="00C62A57" w:rsidRDefault="00983BA8" w:rsidP="00011B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A8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5151E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83BA8">
        <w:rPr>
          <w:rFonts w:ascii="Times New Roman" w:eastAsia="Times New Roman" w:hAnsi="Times New Roman" w:cs="Times New Roman"/>
          <w:sz w:val="24"/>
          <w:szCs w:val="24"/>
        </w:rPr>
        <w:t>адължаваме се да доставяме лицензите с включена техническа поддръжка на софтуерните продукти, в продължение на период от 1 (една) година, считано от датата на издаване на лицензите от производителя (</w:t>
      </w:r>
      <w:proofErr w:type="spellStart"/>
      <w:r w:rsidRPr="00983BA8">
        <w:rPr>
          <w:rFonts w:ascii="Times New Roman" w:eastAsia="Times New Roman" w:hAnsi="Times New Roman" w:cs="Times New Roman"/>
          <w:sz w:val="24"/>
          <w:szCs w:val="24"/>
        </w:rPr>
        <w:t>лицензодателя</w:t>
      </w:r>
      <w:proofErr w:type="spellEnd"/>
      <w:r w:rsidRPr="00983BA8">
        <w:rPr>
          <w:rFonts w:ascii="Times New Roman" w:eastAsia="Times New Roman" w:hAnsi="Times New Roman" w:cs="Times New Roman"/>
          <w:sz w:val="24"/>
          <w:szCs w:val="24"/>
        </w:rPr>
        <w:t xml:space="preserve">) и подписване на приемателно-предавателен протокол по  реда на чл. 26, ал. 1 от </w:t>
      </w:r>
      <w:r w:rsidR="00C62A57">
        <w:rPr>
          <w:rFonts w:ascii="Times New Roman" w:eastAsia="Times New Roman" w:hAnsi="Times New Roman" w:cs="Times New Roman"/>
          <w:sz w:val="24"/>
          <w:szCs w:val="24"/>
        </w:rPr>
        <w:t>проекта на договор. Т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ехническата поддръжка на софтуерните продукти ще се осъществява съгласно Общите условията на производителя (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</w:rPr>
        <w:t>лицензодателя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</w:rPr>
        <w:t>) относно техническа поддръжка на съответните софтуерни продукти, приложение към</w:t>
      </w:r>
      <w:r w:rsidR="00C62A57">
        <w:rPr>
          <w:rFonts w:ascii="Times New Roman" w:eastAsia="Times New Roman" w:hAnsi="Times New Roman" w:cs="Times New Roman"/>
          <w:sz w:val="24"/>
          <w:szCs w:val="24"/>
        </w:rPr>
        <w:t xml:space="preserve"> настоящото ни Техническото предложение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2A57" w:rsidRPr="00C62A57" w:rsidRDefault="00C62A57" w:rsidP="00011B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Г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арантира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748">
        <w:rPr>
          <w:rFonts w:ascii="Times New Roman" w:eastAsia="Times New Roman" w:hAnsi="Times New Roman" w:cs="Times New Roman"/>
          <w:sz w:val="24"/>
          <w:szCs w:val="24"/>
        </w:rPr>
        <w:t>свободното и безпрепятствено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 ползване на софтуерните продукти с оглед авторските права и правата на интелектуална собственост върху продуктите на производителя (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</w:rPr>
        <w:t>лицензодателя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) през време на действие на поддръжката от производителя, както и след изтичане срока на поддръжката </w:t>
      </w:r>
      <w:r>
        <w:rPr>
          <w:rFonts w:ascii="Times New Roman" w:eastAsia="Times New Roman" w:hAnsi="Times New Roman" w:cs="Times New Roman"/>
          <w:sz w:val="24"/>
          <w:szCs w:val="24"/>
        </w:rPr>
        <w:t>по т. 7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2A57" w:rsidRPr="00C62A57" w:rsidRDefault="00C62A57" w:rsidP="00C62A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2A5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9. Г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арантира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, че за периода на техническата поддръжка служителите на възложителя ще имат директен </w:t>
      </w:r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>неограничен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 достъп до ресурси на производителя (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</w:rPr>
        <w:t>лицензодателя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62A57">
        <w:rPr>
          <w:rFonts w:ascii="Times New Roman" w:eastAsia="Times New Roman" w:hAnsi="Times New Roman" w:cs="Times New Roman"/>
          <w:sz w:val="24"/>
          <w:szCs w:val="24"/>
        </w:rPr>
        <w:t>чрез уеб базирана система за клиентска поддръжка („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>My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>Oracle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2A57">
        <w:rPr>
          <w:rFonts w:ascii="Times New Roman" w:eastAsia="Times New Roman" w:hAnsi="Times New Roman" w:cs="Times New Roman"/>
          <w:sz w:val="24"/>
          <w:szCs w:val="24"/>
          <w:lang w:val="ru-RU"/>
        </w:rPr>
        <w:t>Support</w:t>
      </w:r>
      <w:proofErr w:type="spellEnd"/>
      <w:r w:rsidRPr="00C62A57">
        <w:rPr>
          <w:rFonts w:ascii="Times New Roman" w:eastAsia="Times New Roman" w:hAnsi="Times New Roman" w:cs="Times New Roman"/>
          <w:sz w:val="24"/>
          <w:szCs w:val="24"/>
        </w:rPr>
        <w:t xml:space="preserve">” или еквивалент) за техническа помощ във връзка с инсталацията, работа със софтуера и други специфични въпроси по поддръжка на продуктите. </w:t>
      </w:r>
    </w:p>
    <w:p w:rsidR="00C62A57" w:rsidRPr="00C62A57" w:rsidRDefault="00C62A57" w:rsidP="00C62A5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ab/>
        <w:t>10</w:t>
      </w:r>
      <w:r w:rsidRPr="00C62A5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Ще предоставяме на възложителя</w:t>
      </w:r>
      <w:r w:rsidRPr="00C62A5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писмено информация за изпълнение на техническата поддръжка при писмено поискване от страна на възложителя, както и да му осигурява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ме</w:t>
      </w:r>
      <w:r w:rsidRPr="00C62A5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възможност за осъществяване на контрол по изпълнението относно качество и др. през срока на техническата поддръжка, бе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 това да пречи на изпълнението.</w:t>
      </w:r>
    </w:p>
    <w:p w:rsidR="00516CD3" w:rsidRPr="009E5768" w:rsidRDefault="00516CD3" w:rsidP="00983BA8">
      <w:pPr>
        <w:tabs>
          <w:tab w:val="left" w:pos="0"/>
        </w:tabs>
        <w:spacing w:before="120" w:line="36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66C59" w:rsidRPr="00666C59" w:rsidRDefault="006E50E5" w:rsidP="00983BA8">
      <w:pPr>
        <w:tabs>
          <w:tab w:val="left" w:pos="709"/>
        </w:tabs>
        <w:spacing w:before="120" w:line="360" w:lineRule="auto"/>
        <w:ind w:left="710" w:hanging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C62A57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>11</w:t>
      </w:r>
      <w:r w:rsidR="00540CA5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 xml:space="preserve">. </w:t>
      </w:r>
      <w:r w:rsidR="00666C59" w:rsidRPr="00666C5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Посочваме следните данни за контакт:</w:t>
      </w:r>
    </w:p>
    <w:p w:rsidR="00666C59" w:rsidRPr="00666C59" w:rsidRDefault="00666C59" w:rsidP="009E5768">
      <w:pPr>
        <w:suppressAutoHyphens/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66C5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:rsidR="00666C59" w:rsidRPr="00666C59" w:rsidRDefault="00666C59" w:rsidP="009E5768">
      <w:pPr>
        <w:suppressAutoHyphens/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66C5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:rsidR="00666C59" w:rsidRPr="00666C59" w:rsidRDefault="00666C59" w:rsidP="009E5768">
      <w:pPr>
        <w:suppressAutoHyphens/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66C5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:rsidR="00666C59" w:rsidRPr="00666C59" w:rsidRDefault="00540CA5" w:rsidP="00540CA5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ab/>
      </w:r>
      <w:r w:rsidR="00C62A57">
        <w:rPr>
          <w:rFonts w:ascii="Times New Roman" w:eastAsia="SimSun" w:hAnsi="Times New Roman" w:cs="Times New Roman"/>
          <w:color w:val="000000"/>
          <w:sz w:val="24"/>
          <w:szCs w:val="24"/>
          <w:lang w:val="en-US" w:eastAsia="bg-BG"/>
        </w:rPr>
        <w:t>12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bg-BG"/>
        </w:rPr>
        <w:t xml:space="preserve">. </w:t>
      </w:r>
      <w:r w:rsidR="00666C59" w:rsidRPr="00666C59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В случай че бъдем избрани за изпълнител по обществената поръчка, </w:t>
      </w:r>
      <w:r w:rsidR="00666C59" w:rsidRPr="00666C59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lastRenderedPageBreak/>
        <w:t xml:space="preserve">упълномощаваме следните представители, </w:t>
      </w:r>
      <w:r w:rsidR="00666C59" w:rsidRPr="00666C59">
        <w:rPr>
          <w:rFonts w:ascii="Times New Roman" w:eastAsia="SimSun" w:hAnsi="Times New Roman"/>
          <w:sz w:val="24"/>
          <w:szCs w:val="24"/>
        </w:rPr>
        <w:t xml:space="preserve">които да </w:t>
      </w:r>
      <w:r w:rsidR="00C64848" w:rsidRPr="00011BFC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осъществяват контрол по цялостното изпълнение на договора и да подписват предвидените в договора протоколи</w:t>
      </w:r>
      <w:r w:rsidR="00666C59" w:rsidRPr="00011BFC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, както следва</w:t>
      </w:r>
      <w:r w:rsidR="00666C59" w:rsidRPr="00666C59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: </w:t>
      </w:r>
    </w:p>
    <w:p w:rsidR="00666C59" w:rsidRPr="00666C59" w:rsidRDefault="00666C59" w:rsidP="009E5768">
      <w:pPr>
        <w:suppressAutoHyphens/>
        <w:spacing w:before="12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66C59">
        <w:rPr>
          <w:rFonts w:ascii="Times New Roman" w:eastAsia="SimSun" w:hAnsi="Times New Roman" w:cs="Times New Roman"/>
          <w:sz w:val="24"/>
          <w:szCs w:val="24"/>
        </w:rPr>
        <w:t>…………………………………………..</w:t>
      </w:r>
    </w:p>
    <w:p w:rsidR="00666C59" w:rsidRDefault="00666C59" w:rsidP="009E5768">
      <w:pPr>
        <w:shd w:val="clear" w:color="auto" w:fill="FFFFFF"/>
        <w:tabs>
          <w:tab w:val="left" w:pos="709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C59">
        <w:rPr>
          <w:rFonts w:ascii="Times New Roman" w:hAnsi="Times New Roman" w:cs="Times New Roman"/>
          <w:sz w:val="24"/>
          <w:szCs w:val="24"/>
        </w:rPr>
        <w:t>(да се повтори, колкото пъти е необходимо)</w:t>
      </w:r>
    </w:p>
    <w:p w:rsidR="00C62A57" w:rsidRDefault="00C62A57" w:rsidP="00C62A57">
      <w:pPr>
        <w:spacing w:after="0" w:line="36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</w:pPr>
      <w:r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13</w:t>
      </w:r>
      <w:r w:rsidR="00540CA5"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666C59"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Прилагаме </w:t>
      </w:r>
      <w:r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Общите условията на производителя (</w:t>
      </w:r>
      <w:proofErr w:type="spellStart"/>
      <w:r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лицензодателя</w:t>
      </w:r>
      <w:proofErr w:type="spellEnd"/>
      <w:r w:rsidRPr="00C62A57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>) относно техническа поддръжка на съответните софтуерни продукти;</w:t>
      </w:r>
    </w:p>
    <w:p w:rsidR="00C62A57" w:rsidRPr="00C62A57" w:rsidRDefault="00C62A57" w:rsidP="00C62A57">
      <w:pPr>
        <w:pStyle w:val="1"/>
        <w:numPr>
          <w:ilvl w:val="0"/>
          <w:numId w:val="0"/>
        </w:numPr>
        <w:spacing w:line="360" w:lineRule="auto"/>
        <w:ind w:firstLine="708"/>
      </w:pPr>
      <w:r>
        <w:rPr>
          <w:rFonts w:eastAsia="SimSun"/>
          <w:color w:val="000000"/>
          <w:szCs w:val="24"/>
          <w:lang w:eastAsia="bg-BG"/>
        </w:rPr>
        <w:t xml:space="preserve">14. </w:t>
      </w:r>
      <w:r w:rsidRPr="00C62A57">
        <w:rPr>
          <w:color w:val="000000"/>
        </w:rPr>
        <w:t xml:space="preserve">Декларираме, че сме </w:t>
      </w:r>
      <w:r w:rsidRPr="00C62A57">
        <w:t xml:space="preserve">упълномощени от производителя на </w:t>
      </w:r>
      <w:r>
        <w:t>софтуерните</w:t>
      </w:r>
      <w:r w:rsidRPr="00C62A57">
        <w:t xml:space="preserve"> продукти, за които ще доставяме лицензи, с права за представителство и търговия.</w:t>
      </w:r>
    </w:p>
    <w:p w:rsidR="00C62A57" w:rsidRPr="00C62A57" w:rsidRDefault="00C62A57" w:rsidP="00C62A5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62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удостоверявана на горното обстоятелство представяме следния документ: ………………………………………... (официално писмо или еквивалентен документ), издаден от …………………. (производителя или негов регионален представител),  удостоверяващо правата ни за представителство и търговия.</w:t>
      </w:r>
    </w:p>
    <w:p w:rsidR="00C62A57" w:rsidRPr="00880934" w:rsidRDefault="00C62A57" w:rsidP="00C62A57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666C59" w:rsidRPr="00540CA5" w:rsidRDefault="00540CA5" w:rsidP="00C62A57">
      <w:pPr>
        <w:pStyle w:val="ListParagraph"/>
        <w:shd w:val="clear" w:color="auto" w:fill="FFFFFF"/>
        <w:tabs>
          <w:tab w:val="left" w:pos="709"/>
        </w:tabs>
        <w:spacing w:before="120"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b/>
          <w:caps/>
          <w:spacing w:val="40"/>
          <w:sz w:val="24"/>
          <w:szCs w:val="24"/>
          <w14:numSpacing w14:val="proportional"/>
        </w:rPr>
        <w:tab/>
      </w:r>
      <w:r w:rsidR="00666C59" w:rsidRPr="00666C59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="00666C59" w:rsidRPr="00666C59">
        <w:rPr>
          <w:b/>
          <w:spacing w:val="20"/>
          <w:sz w:val="24"/>
          <w:szCs w:val="24"/>
        </w:rPr>
        <w:t xml:space="preserve"> </w:t>
      </w:r>
      <w:r w:rsidR="00666C59" w:rsidRPr="00666C59">
        <w:rPr>
          <w:sz w:val="24"/>
          <w:szCs w:val="24"/>
        </w:rPr>
        <w:t>на основание</w:t>
      </w:r>
      <w:r w:rsidR="00666C59" w:rsidRPr="00666C59">
        <w:rPr>
          <w:spacing w:val="-4"/>
          <w:sz w:val="24"/>
          <w:szCs w:val="24"/>
        </w:rPr>
        <w:t xml:space="preserve"> чл. 39, ал. 3, т. 1, буква „в“ от ППЗОП</w:t>
      </w:r>
      <w:r w:rsidR="00666C59" w:rsidRPr="00666C59">
        <w:rPr>
          <w:b/>
          <w:sz w:val="24"/>
          <w:szCs w:val="24"/>
        </w:rPr>
        <w:t>.</w:t>
      </w:r>
    </w:p>
    <w:p w:rsidR="00540CA5" w:rsidRDefault="00540CA5" w:rsidP="00540CA5">
      <w:pPr>
        <w:spacing w:before="12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en-US"/>
        </w:rPr>
        <w:t>1</w:t>
      </w:r>
      <w:r w:rsidR="00C62A57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en-US"/>
        </w:rPr>
        <w:t xml:space="preserve">. </w:t>
      </w:r>
      <w:r w:rsidR="00666C59" w:rsidRPr="00666C59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="00666C59" w:rsidRPr="00666C5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</w:t>
      </w:r>
      <w:r>
        <w:rPr>
          <w:rFonts w:ascii="Times New Roman" w:hAnsi="Times New Roman" w:cs="Times New Roman"/>
          <w:bCs/>
          <w:spacing w:val="-4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>, че с</w:t>
      </w:r>
      <w:r w:rsidR="00666C59" w:rsidRPr="00666C59">
        <w:rPr>
          <w:rFonts w:ascii="Times New Roman" w:hAnsi="Times New Roman" w:cs="Times New Roman"/>
          <w:bCs/>
          <w:spacing w:val="-4"/>
          <w:sz w:val="24"/>
          <w:szCs w:val="24"/>
        </w:rPr>
        <w:t>м</w:t>
      </w:r>
      <w:r>
        <w:rPr>
          <w:rFonts w:ascii="Times New Roman" w:hAnsi="Times New Roman" w:cs="Times New Roman"/>
          <w:bCs/>
          <w:spacing w:val="-4"/>
          <w:sz w:val="24"/>
          <w:szCs w:val="24"/>
          <w:lang w:val="en-US"/>
        </w:rPr>
        <w:t>e</w:t>
      </w:r>
      <w:r w:rsidR="00666C59" w:rsidRPr="00666C5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666C59" w:rsidRPr="00666C59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</w:t>
      </w:r>
      <w:r w:rsidR="00666C59" w:rsidRPr="00666C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условията и приемам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</w:t>
      </w:r>
      <w:r w:rsidR="00666C59" w:rsidRPr="00666C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клаузите в проекта на договор, приложен в документацията за участие в настоящата </w:t>
      </w:r>
      <w:r w:rsidR="00666C59" w:rsidRPr="00666C59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66C59" w:rsidRPr="00666C59">
        <w:rPr>
          <w:rFonts w:ascii="Times New Roman" w:hAnsi="Times New Roman" w:cs="Times New Roman"/>
          <w:sz w:val="24"/>
          <w:szCs w:val="24"/>
        </w:rPr>
        <w:t>.</w:t>
      </w:r>
    </w:p>
    <w:p w:rsidR="00666C59" w:rsidRPr="00540CA5" w:rsidRDefault="00666C59" w:rsidP="00540CA5">
      <w:pPr>
        <w:spacing w:before="12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C59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eastAsia="bg-BG"/>
        </w:rPr>
        <w:t>ДЕКЛАРАЦИЯ</w:t>
      </w:r>
      <w:r w:rsidRPr="00666C59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eastAsia="bg-BG"/>
        </w:rPr>
        <w:t xml:space="preserve"> на основание чл. 39, ал. 3, т. 1, буква „г“ от ППЗОП. </w:t>
      </w:r>
    </w:p>
    <w:p w:rsidR="00666C59" w:rsidRPr="00666C59" w:rsidRDefault="00C62A57" w:rsidP="009E5768">
      <w:pPr>
        <w:shd w:val="clear" w:color="auto" w:fill="FFFFFF"/>
        <w:autoSpaceDN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16</w:t>
      </w:r>
      <w:r w:rsidR="00540C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666C59" w:rsidRPr="00666C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съответствие с изискванията на Възложителя, декларирам че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нашето участие в откритата </w:t>
      </w:r>
      <w:r w:rsidR="00666C59" w:rsidRPr="00666C5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 с гореописания предмет</w:t>
      </w:r>
      <w:r w:rsidR="00666C59" w:rsidRPr="00666C5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666C59" w:rsidRPr="00666C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66C59" w:rsidRPr="00666C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="00666C59" w:rsidRPr="00666C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="00666C59" w:rsidRPr="00666C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="00666C59" w:rsidRPr="00666C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="00666C59" w:rsidRPr="00666C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666C59" w:rsidRPr="00666C59" w:rsidRDefault="00666C59" w:rsidP="009E5768">
      <w:pPr>
        <w:widowControl w:val="0"/>
        <w:tabs>
          <w:tab w:val="left" w:pos="709"/>
        </w:tabs>
        <w:spacing w:before="120"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666C59" w:rsidRPr="00666C59" w:rsidRDefault="00666C59" w:rsidP="009E5768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66C5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66C59">
        <w:rPr>
          <w:rFonts w:ascii="Times New Roman" w:eastAsia="Times New Roman" w:hAnsi="Times New Roman" w:cs="Times New Roman"/>
          <w:i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666C5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66C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Приложения </w:t>
      </w:r>
      <w:r w:rsidRPr="00666C59">
        <w:rPr>
          <w:rFonts w:ascii="Times New Roman" w:eastAsia="Times New Roman" w:hAnsi="Times New Roman" w:cs="Times New Roman"/>
          <w:sz w:val="24"/>
          <w:szCs w:val="24"/>
          <w:lang w:eastAsia="bg-BG"/>
        </w:rPr>
        <w:t>(ако е необходимо):</w:t>
      </w:r>
      <w:r w:rsidRPr="00666C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66C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66C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666C59" w:rsidRPr="00666C59" w:rsidRDefault="00666C59" w:rsidP="009E5768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666C59" w:rsidRPr="00666C59" w:rsidRDefault="00666C59" w:rsidP="009E5768">
      <w:pPr>
        <w:spacing w:before="120" w:line="360" w:lineRule="auto"/>
        <w:ind w:left="1530" w:hanging="153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6C5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666C59">
        <w:rPr>
          <w:rFonts w:ascii="Times New Roman" w:hAnsi="Times New Roman" w:cs="Times New Roman"/>
          <w:iCs/>
          <w:sz w:val="24"/>
          <w:szCs w:val="24"/>
        </w:rPr>
        <w:tab/>
      </w:r>
      <w:r w:rsidRPr="00666C59">
        <w:rPr>
          <w:rFonts w:ascii="Times New Roman" w:hAnsi="Times New Roman" w:cs="Times New Roman"/>
          <w:iCs/>
          <w:sz w:val="24"/>
          <w:szCs w:val="24"/>
        </w:rPr>
        <w:tab/>
      </w:r>
      <w:r w:rsidRPr="00666C59">
        <w:rPr>
          <w:rFonts w:ascii="Times New Roman" w:hAnsi="Times New Roman" w:cs="Times New Roman"/>
          <w:iCs/>
          <w:sz w:val="24"/>
          <w:szCs w:val="24"/>
        </w:rPr>
        <w:tab/>
      </w:r>
      <w:r w:rsidRPr="00666C59">
        <w:rPr>
          <w:rFonts w:ascii="Times New Roman" w:hAnsi="Times New Roman" w:cs="Times New Roman"/>
          <w:iCs/>
          <w:sz w:val="24"/>
          <w:szCs w:val="24"/>
        </w:rPr>
        <w:tab/>
      </w:r>
      <w:r w:rsidRPr="00666C5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666C5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666C59" w:rsidRPr="00666C59" w:rsidRDefault="00666C59" w:rsidP="009E5768">
      <w:pPr>
        <w:shd w:val="clear" w:color="auto" w:fill="FFFFFF"/>
        <w:spacing w:before="120" w:line="360" w:lineRule="auto"/>
        <w:jc w:val="both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666C5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666C5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666C5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66C59" w:rsidRPr="00666C59" w:rsidRDefault="00666C59" w:rsidP="009E5768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666C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.........................................................................</w:t>
      </w:r>
    </w:p>
    <w:p w:rsidR="00666C59" w:rsidRPr="00666C59" w:rsidRDefault="00666C59" w:rsidP="009E5768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66C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666C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                  участника)</w:t>
      </w:r>
    </w:p>
    <w:p w:rsidR="00666C59" w:rsidRPr="00666C59" w:rsidRDefault="00666C59" w:rsidP="009E5768">
      <w:pPr>
        <w:spacing w:before="120"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E6202" w:rsidRPr="002106A5" w:rsidRDefault="006E6202" w:rsidP="009E576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i/>
        </w:rPr>
      </w:pPr>
    </w:p>
    <w:sectPr w:rsidR="006E6202" w:rsidRPr="002106A5" w:rsidSect="009E576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7F" w:rsidRDefault="00657C7F" w:rsidP="00457984">
      <w:pPr>
        <w:spacing w:after="0" w:line="240" w:lineRule="auto"/>
      </w:pPr>
      <w:r>
        <w:separator/>
      </w:r>
    </w:p>
  </w:endnote>
  <w:endnote w:type="continuationSeparator" w:id="0">
    <w:p w:rsidR="00657C7F" w:rsidRDefault="00657C7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B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7F" w:rsidRDefault="00657C7F" w:rsidP="00457984">
      <w:pPr>
        <w:spacing w:after="0" w:line="240" w:lineRule="auto"/>
      </w:pPr>
      <w:r>
        <w:separator/>
      </w:r>
    </w:p>
  </w:footnote>
  <w:footnote w:type="continuationSeparator" w:id="0">
    <w:p w:rsidR="00657C7F" w:rsidRDefault="00657C7F" w:rsidP="00457984">
      <w:pPr>
        <w:spacing w:after="0" w:line="240" w:lineRule="auto"/>
      </w:pPr>
      <w:r>
        <w:continuationSeparator/>
      </w:r>
    </w:p>
  </w:footnote>
  <w:footnote w:id="1">
    <w:p w:rsidR="005151E9" w:rsidRDefault="005151E9" w:rsidP="005151E9">
      <w:pPr>
        <w:pStyle w:val="FootnoteText"/>
      </w:pPr>
      <w:r>
        <w:rPr>
          <w:rStyle w:val="FootnoteReference"/>
        </w:rPr>
        <w:footnoteRef/>
      </w:r>
      <w:r>
        <w:t xml:space="preserve"> Неограничена валидност във времето, при пълно право на ползване.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5B" w:rsidRPr="00952F62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  <w:r w:rsidR="003B56AD">
      <w:rPr>
        <w:rFonts w:ascii="Times New Roman" w:hAnsi="Times New Roman" w:cs="Times New Roman"/>
        <w:i/>
        <w:sz w:val="24"/>
        <w:szCs w:val="24"/>
      </w:rPr>
      <w:t xml:space="preserve"> </w:t>
    </w:r>
    <w:r w:rsidR="00D4225B">
      <w:rPr>
        <w:rFonts w:ascii="Times New Roman" w:hAnsi="Times New Roman" w:cs="Times New Roman"/>
        <w:i/>
        <w:sz w:val="24"/>
        <w:szCs w:val="24"/>
      </w:rPr>
      <w:t xml:space="preserve">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BC6612" w:rsidP="00BC6612">
    <w:pPr>
      <w:pStyle w:val="Header"/>
      <w:tabs>
        <w:tab w:val="clear" w:pos="4536"/>
        <w:tab w:val="clear" w:pos="9072"/>
        <w:tab w:val="left" w:pos="7340"/>
      </w:tabs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428D6CEE"/>
    <w:multiLevelType w:val="hybridMultilevel"/>
    <w:tmpl w:val="E96207DE"/>
    <w:lvl w:ilvl="0" w:tplc="906CEAE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7EB5176"/>
    <w:multiLevelType w:val="multilevel"/>
    <w:tmpl w:val="6A4A1F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4DBE4694"/>
    <w:multiLevelType w:val="multilevel"/>
    <w:tmpl w:val="B86EC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3E4161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22F462D"/>
    <w:multiLevelType w:val="hybridMultilevel"/>
    <w:tmpl w:val="F0DE35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11"/>
  </w:num>
  <w:num w:numId="9">
    <w:abstractNumId w:val="11"/>
  </w:num>
  <w:num w:numId="10">
    <w:abstractNumId w:val="12"/>
  </w:num>
  <w:num w:numId="11">
    <w:abstractNumId w:val="13"/>
  </w:num>
  <w:num w:numId="12">
    <w:abstractNumId w:val="10"/>
  </w:num>
  <w:num w:numId="13">
    <w:abstractNumId w:val="3"/>
  </w:num>
  <w:num w:numId="14">
    <w:abstractNumId w:val="14"/>
  </w:num>
  <w:num w:numId="15">
    <w:abstractNumId w:val="9"/>
  </w:num>
  <w:num w:numId="16">
    <w:abstractNumId w:val="7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1BFC"/>
    <w:rsid w:val="00014FE0"/>
    <w:rsid w:val="00024AE4"/>
    <w:rsid w:val="00036D4A"/>
    <w:rsid w:val="000508F8"/>
    <w:rsid w:val="00063CE2"/>
    <w:rsid w:val="0007167A"/>
    <w:rsid w:val="000745E1"/>
    <w:rsid w:val="00077266"/>
    <w:rsid w:val="0008009C"/>
    <w:rsid w:val="00092012"/>
    <w:rsid w:val="000C3743"/>
    <w:rsid w:val="000C492C"/>
    <w:rsid w:val="000D2582"/>
    <w:rsid w:val="000D438E"/>
    <w:rsid w:val="000E6535"/>
    <w:rsid w:val="000F7635"/>
    <w:rsid w:val="00112C37"/>
    <w:rsid w:val="00113152"/>
    <w:rsid w:val="001532E9"/>
    <w:rsid w:val="00154867"/>
    <w:rsid w:val="0016287B"/>
    <w:rsid w:val="0019476D"/>
    <w:rsid w:val="00194BFB"/>
    <w:rsid w:val="001B61D2"/>
    <w:rsid w:val="001D1885"/>
    <w:rsid w:val="001F591E"/>
    <w:rsid w:val="002106A5"/>
    <w:rsid w:val="00214057"/>
    <w:rsid w:val="00221305"/>
    <w:rsid w:val="00237F8C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63FCB"/>
    <w:rsid w:val="00370761"/>
    <w:rsid w:val="00397D27"/>
    <w:rsid w:val="003A32B7"/>
    <w:rsid w:val="003B0055"/>
    <w:rsid w:val="003B4045"/>
    <w:rsid w:val="003B56AD"/>
    <w:rsid w:val="003B6697"/>
    <w:rsid w:val="003E0B8E"/>
    <w:rsid w:val="003E42A0"/>
    <w:rsid w:val="00401917"/>
    <w:rsid w:val="004445A9"/>
    <w:rsid w:val="00447438"/>
    <w:rsid w:val="00454B23"/>
    <w:rsid w:val="00457984"/>
    <w:rsid w:val="00466AF4"/>
    <w:rsid w:val="00476582"/>
    <w:rsid w:val="004872A9"/>
    <w:rsid w:val="00497BB1"/>
    <w:rsid w:val="004E3FBC"/>
    <w:rsid w:val="0050397F"/>
    <w:rsid w:val="005151E9"/>
    <w:rsid w:val="005164B3"/>
    <w:rsid w:val="00516CD3"/>
    <w:rsid w:val="00526AB9"/>
    <w:rsid w:val="00530E50"/>
    <w:rsid w:val="00540CA5"/>
    <w:rsid w:val="005419D6"/>
    <w:rsid w:val="0054416E"/>
    <w:rsid w:val="00574AC9"/>
    <w:rsid w:val="005A1E0D"/>
    <w:rsid w:val="005C3B73"/>
    <w:rsid w:val="005D688E"/>
    <w:rsid w:val="005F68C0"/>
    <w:rsid w:val="00623ECC"/>
    <w:rsid w:val="006420F9"/>
    <w:rsid w:val="00657C7F"/>
    <w:rsid w:val="00662F57"/>
    <w:rsid w:val="00662F5E"/>
    <w:rsid w:val="00666C59"/>
    <w:rsid w:val="0067077F"/>
    <w:rsid w:val="00694A53"/>
    <w:rsid w:val="006B4D59"/>
    <w:rsid w:val="006C05D9"/>
    <w:rsid w:val="006E50E5"/>
    <w:rsid w:val="006E6202"/>
    <w:rsid w:val="006F792B"/>
    <w:rsid w:val="007016AD"/>
    <w:rsid w:val="007032D2"/>
    <w:rsid w:val="007211E8"/>
    <w:rsid w:val="00747627"/>
    <w:rsid w:val="00757CE2"/>
    <w:rsid w:val="007641ED"/>
    <w:rsid w:val="00770D58"/>
    <w:rsid w:val="007924BE"/>
    <w:rsid w:val="00795916"/>
    <w:rsid w:val="007D184D"/>
    <w:rsid w:val="007F7D27"/>
    <w:rsid w:val="00820088"/>
    <w:rsid w:val="00825FCF"/>
    <w:rsid w:val="008361B8"/>
    <w:rsid w:val="0087582F"/>
    <w:rsid w:val="00875DF3"/>
    <w:rsid w:val="008B6BE6"/>
    <w:rsid w:val="008C5989"/>
    <w:rsid w:val="008C5A12"/>
    <w:rsid w:val="008D5B0C"/>
    <w:rsid w:val="008E1451"/>
    <w:rsid w:val="008E6B6A"/>
    <w:rsid w:val="00923239"/>
    <w:rsid w:val="00924836"/>
    <w:rsid w:val="00932A84"/>
    <w:rsid w:val="00946D30"/>
    <w:rsid w:val="00952F62"/>
    <w:rsid w:val="009620C9"/>
    <w:rsid w:val="009744EF"/>
    <w:rsid w:val="00983BA8"/>
    <w:rsid w:val="00995DA6"/>
    <w:rsid w:val="009B4776"/>
    <w:rsid w:val="009D6A1A"/>
    <w:rsid w:val="009D73F6"/>
    <w:rsid w:val="009E26F6"/>
    <w:rsid w:val="009E5768"/>
    <w:rsid w:val="00A44705"/>
    <w:rsid w:val="00A75760"/>
    <w:rsid w:val="00A77785"/>
    <w:rsid w:val="00A87365"/>
    <w:rsid w:val="00A9091E"/>
    <w:rsid w:val="00AA25AE"/>
    <w:rsid w:val="00AD041A"/>
    <w:rsid w:val="00AD377F"/>
    <w:rsid w:val="00AE6FF9"/>
    <w:rsid w:val="00AF5385"/>
    <w:rsid w:val="00B00768"/>
    <w:rsid w:val="00B41D25"/>
    <w:rsid w:val="00B471B8"/>
    <w:rsid w:val="00B472C3"/>
    <w:rsid w:val="00B52583"/>
    <w:rsid w:val="00B53212"/>
    <w:rsid w:val="00B54A15"/>
    <w:rsid w:val="00B834B4"/>
    <w:rsid w:val="00B90692"/>
    <w:rsid w:val="00B925C1"/>
    <w:rsid w:val="00B95E7D"/>
    <w:rsid w:val="00BA1B75"/>
    <w:rsid w:val="00BA30C3"/>
    <w:rsid w:val="00BA3825"/>
    <w:rsid w:val="00BB02A0"/>
    <w:rsid w:val="00BB2390"/>
    <w:rsid w:val="00BC5FF2"/>
    <w:rsid w:val="00BC6612"/>
    <w:rsid w:val="00BD2E9A"/>
    <w:rsid w:val="00BE2349"/>
    <w:rsid w:val="00BE2E9F"/>
    <w:rsid w:val="00C41410"/>
    <w:rsid w:val="00C51FBC"/>
    <w:rsid w:val="00C5302B"/>
    <w:rsid w:val="00C62A57"/>
    <w:rsid w:val="00C64848"/>
    <w:rsid w:val="00C67C6C"/>
    <w:rsid w:val="00C80B44"/>
    <w:rsid w:val="00C84B41"/>
    <w:rsid w:val="00C9773D"/>
    <w:rsid w:val="00CA04C4"/>
    <w:rsid w:val="00CB1DE0"/>
    <w:rsid w:val="00CC16C4"/>
    <w:rsid w:val="00CD7610"/>
    <w:rsid w:val="00CE21E6"/>
    <w:rsid w:val="00D00954"/>
    <w:rsid w:val="00D25226"/>
    <w:rsid w:val="00D4225B"/>
    <w:rsid w:val="00D55685"/>
    <w:rsid w:val="00D75423"/>
    <w:rsid w:val="00D81967"/>
    <w:rsid w:val="00D82A70"/>
    <w:rsid w:val="00D8779D"/>
    <w:rsid w:val="00D94022"/>
    <w:rsid w:val="00DA7344"/>
    <w:rsid w:val="00DC45AD"/>
    <w:rsid w:val="00DF0075"/>
    <w:rsid w:val="00DF0CDE"/>
    <w:rsid w:val="00DF0F84"/>
    <w:rsid w:val="00E029D2"/>
    <w:rsid w:val="00E03113"/>
    <w:rsid w:val="00E275D3"/>
    <w:rsid w:val="00E40730"/>
    <w:rsid w:val="00E52263"/>
    <w:rsid w:val="00E5512B"/>
    <w:rsid w:val="00E60C75"/>
    <w:rsid w:val="00E62251"/>
    <w:rsid w:val="00E622F7"/>
    <w:rsid w:val="00E66974"/>
    <w:rsid w:val="00E67D48"/>
    <w:rsid w:val="00E77A3C"/>
    <w:rsid w:val="00E8665C"/>
    <w:rsid w:val="00E9542D"/>
    <w:rsid w:val="00EA6E40"/>
    <w:rsid w:val="00EC3F1A"/>
    <w:rsid w:val="00EC5465"/>
    <w:rsid w:val="00EC56ED"/>
    <w:rsid w:val="00ED3028"/>
    <w:rsid w:val="00ED7912"/>
    <w:rsid w:val="00EE5638"/>
    <w:rsid w:val="00F01101"/>
    <w:rsid w:val="00F303BD"/>
    <w:rsid w:val="00F44810"/>
    <w:rsid w:val="00F5030A"/>
    <w:rsid w:val="00F504DE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C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">
    <w:name w:val="Body text (2)_"/>
    <w:basedOn w:val="DefaultParagraphFont"/>
    <w:link w:val="Bodytext20"/>
    <w:rsid w:val="00CC16C4"/>
    <w:rPr>
      <w:rFonts w:ascii="Times New Roman" w:eastAsia="Times New Roman" w:hAnsi="Times New Roman" w:cs="Times New Roman"/>
      <w:sz w:val="21"/>
      <w:szCs w:val="21"/>
      <w:shd w:val="clear" w:color="auto" w:fill="FFFFFF"/>
      <w:lang w:val="bg"/>
    </w:rPr>
  </w:style>
  <w:style w:type="character" w:customStyle="1" w:styleId="Bodytext">
    <w:name w:val="Body text_"/>
    <w:basedOn w:val="DefaultParagraphFont"/>
    <w:link w:val="BodyText1"/>
    <w:rsid w:val="00CC16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C16C4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sz w:val="21"/>
      <w:szCs w:val="21"/>
      <w:lang w:val="bg"/>
    </w:rPr>
  </w:style>
  <w:style w:type="paragraph" w:customStyle="1" w:styleId="BodyText1">
    <w:name w:val="Body Text1"/>
    <w:basedOn w:val="Normal"/>
    <w:link w:val="Bodytext"/>
    <w:rsid w:val="00CC16C4"/>
    <w:pPr>
      <w:shd w:val="clear" w:color="auto" w:fill="FFFFFF"/>
      <w:spacing w:before="90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952F62"/>
    <w:pPr>
      <w:spacing w:line="24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2F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52F62"/>
  </w:style>
  <w:style w:type="paragraph" w:styleId="Title">
    <w:name w:val="Title"/>
    <w:basedOn w:val="Normal"/>
    <w:link w:val="TitleChar"/>
    <w:qFormat/>
    <w:rsid w:val="00983B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83BA8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customStyle="1" w:styleId="1">
    <w:name w:val="Заглавие 1"/>
    <w:basedOn w:val="Normal"/>
    <w:rsid w:val="00C62A57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C62A57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C62A57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C62A57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C62A57"/>
    <w:pPr>
      <w:numPr>
        <w:ilvl w:val="4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C62A57"/>
    <w:pPr>
      <w:numPr>
        <w:ilvl w:val="5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C62A57"/>
    <w:pPr>
      <w:numPr>
        <w:ilvl w:val="6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C62A57"/>
    <w:pPr>
      <w:numPr>
        <w:ilvl w:val="7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C62A57"/>
    <w:pPr>
      <w:numPr>
        <w:ilvl w:val="8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">
    <w:name w:val="Body text (2)_"/>
    <w:basedOn w:val="DefaultParagraphFont"/>
    <w:link w:val="Bodytext20"/>
    <w:rsid w:val="00CC16C4"/>
    <w:rPr>
      <w:rFonts w:ascii="Times New Roman" w:eastAsia="Times New Roman" w:hAnsi="Times New Roman" w:cs="Times New Roman"/>
      <w:sz w:val="21"/>
      <w:szCs w:val="21"/>
      <w:shd w:val="clear" w:color="auto" w:fill="FFFFFF"/>
      <w:lang w:val="bg"/>
    </w:rPr>
  </w:style>
  <w:style w:type="character" w:customStyle="1" w:styleId="Bodytext">
    <w:name w:val="Body text_"/>
    <w:basedOn w:val="DefaultParagraphFont"/>
    <w:link w:val="BodyText1"/>
    <w:rsid w:val="00CC16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C16C4"/>
    <w:pPr>
      <w:shd w:val="clear" w:color="auto" w:fill="FFFFFF"/>
      <w:spacing w:after="1320" w:line="0" w:lineRule="atLeast"/>
    </w:pPr>
    <w:rPr>
      <w:rFonts w:ascii="Times New Roman" w:eastAsia="Times New Roman" w:hAnsi="Times New Roman" w:cs="Times New Roman"/>
      <w:sz w:val="21"/>
      <w:szCs w:val="21"/>
      <w:lang w:val="bg"/>
    </w:rPr>
  </w:style>
  <w:style w:type="paragraph" w:customStyle="1" w:styleId="BodyText1">
    <w:name w:val="Body Text1"/>
    <w:basedOn w:val="Normal"/>
    <w:link w:val="Bodytext"/>
    <w:rsid w:val="00CC16C4"/>
    <w:pPr>
      <w:shd w:val="clear" w:color="auto" w:fill="FFFFFF"/>
      <w:spacing w:before="90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Indent12pt">
    <w:name w:val="Body Text Indent + 12 pt"/>
    <w:aliases w:val="Justified,Left:  0&quot;,First line:  0.5&quot;"/>
    <w:basedOn w:val="BodyTextIndent"/>
    <w:rsid w:val="00952F62"/>
    <w:pPr>
      <w:spacing w:line="24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2F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52F62"/>
  </w:style>
  <w:style w:type="paragraph" w:styleId="Title">
    <w:name w:val="Title"/>
    <w:basedOn w:val="Normal"/>
    <w:link w:val="TitleChar"/>
    <w:qFormat/>
    <w:rsid w:val="00983B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983BA8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customStyle="1" w:styleId="1">
    <w:name w:val="Заглавие 1"/>
    <w:basedOn w:val="Normal"/>
    <w:rsid w:val="00C62A57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C62A57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C62A57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C62A57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C62A57"/>
    <w:pPr>
      <w:numPr>
        <w:ilvl w:val="4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C62A57"/>
    <w:pPr>
      <w:numPr>
        <w:ilvl w:val="5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C62A57"/>
    <w:pPr>
      <w:numPr>
        <w:ilvl w:val="6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C62A57"/>
    <w:pPr>
      <w:numPr>
        <w:ilvl w:val="7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C62A57"/>
    <w:pPr>
      <w:numPr>
        <w:ilvl w:val="8"/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6AB2-F71A-410B-BF00-C50C2B03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1248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49</cp:revision>
  <cp:lastPrinted>2016-08-19T07:49:00Z</cp:lastPrinted>
  <dcterms:created xsi:type="dcterms:W3CDTF">2017-09-29T10:40:00Z</dcterms:created>
  <dcterms:modified xsi:type="dcterms:W3CDTF">2018-04-24T07:35:00Z</dcterms:modified>
</cp:coreProperties>
</file>