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0E8AEF" w14:textId="710A3739" w:rsidR="002C141C" w:rsidRPr="00D85DFD" w:rsidRDefault="00D85DFD" w:rsidP="00D85DFD">
      <w:pPr>
        <w:tabs>
          <w:tab w:val="left" w:pos="1843"/>
        </w:tabs>
        <w:spacing w:after="0" w:line="360" w:lineRule="auto"/>
        <w:jc w:val="right"/>
        <w:rPr>
          <w:rFonts w:ascii="Times New Roman" w:hAnsi="Times New Roman" w:cs="Times New Roman"/>
          <w:b/>
          <w:u w:val="single"/>
          <w:lang w:val="bg-BG"/>
        </w:rPr>
      </w:pPr>
      <w:bookmarkStart w:id="0" w:name="_GoBack"/>
      <w:bookmarkEnd w:id="0"/>
      <w:proofErr w:type="spellStart"/>
      <w:r w:rsidRPr="00D85DFD">
        <w:rPr>
          <w:rFonts w:ascii="Times New Roman" w:hAnsi="Times New Roman" w:cs="Times New Roman"/>
          <w:b/>
          <w:u w:val="single"/>
        </w:rPr>
        <w:t>Приложение</w:t>
      </w:r>
      <w:proofErr w:type="spellEnd"/>
      <w:r w:rsidRPr="00D85DFD">
        <w:rPr>
          <w:rFonts w:ascii="Times New Roman" w:hAnsi="Times New Roman" w:cs="Times New Roman"/>
          <w:b/>
          <w:u w:val="single"/>
        </w:rPr>
        <w:t xml:space="preserve"> </w:t>
      </w:r>
      <w:r w:rsidRPr="00D85DFD">
        <w:rPr>
          <w:rFonts w:ascii="Times New Roman" w:hAnsi="Times New Roman" w:cs="Times New Roman"/>
          <w:b/>
          <w:u w:val="single"/>
          <w:lang w:val="bg-BG"/>
        </w:rPr>
        <w:t>3</w:t>
      </w:r>
    </w:p>
    <w:p w14:paraId="164B3233" w14:textId="77777777" w:rsidR="002C141C" w:rsidRDefault="002C141C" w:rsidP="002C141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</w:p>
    <w:p w14:paraId="33B37C58" w14:textId="77777777" w:rsidR="002C141C" w:rsidRDefault="002C141C" w:rsidP="002C141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</w:p>
    <w:p w14:paraId="11343BAF" w14:textId="77777777" w:rsidR="002C141C" w:rsidRDefault="002C141C" w:rsidP="002C141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</w:p>
    <w:p w14:paraId="1E2B8991" w14:textId="77777777" w:rsidR="002C141C" w:rsidRDefault="002C141C" w:rsidP="002C141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</w:p>
    <w:p w14:paraId="121407BB" w14:textId="77777777" w:rsidR="002C141C" w:rsidRDefault="002C141C" w:rsidP="002C141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</w:p>
    <w:p w14:paraId="25794A55" w14:textId="77777777" w:rsidR="002C141C" w:rsidRDefault="002C141C" w:rsidP="002C141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</w:p>
    <w:p w14:paraId="3925579A" w14:textId="77777777" w:rsidR="002C141C" w:rsidRDefault="002C141C" w:rsidP="002C141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</w:p>
    <w:p w14:paraId="7D7E5EDA" w14:textId="77777777" w:rsidR="002C141C" w:rsidRDefault="002C141C" w:rsidP="002C141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</w:p>
    <w:p w14:paraId="184CBE90" w14:textId="77777777" w:rsidR="002C141C" w:rsidRDefault="002C141C" w:rsidP="002C141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</w:p>
    <w:p w14:paraId="17712720" w14:textId="77777777" w:rsidR="002C141C" w:rsidRDefault="002C141C" w:rsidP="002C141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</w:p>
    <w:p w14:paraId="5E3FA031" w14:textId="6D06CE6C" w:rsidR="002C141C" w:rsidRDefault="002C141C" w:rsidP="002C141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  <w:r w:rsidRPr="00D8231E">
        <w:rPr>
          <w:rFonts w:ascii="Times New Roman" w:hAnsi="Times New Roman" w:cs="Times New Roman"/>
          <w:b/>
          <w:sz w:val="32"/>
          <w:szCs w:val="32"/>
          <w:lang w:val="bg-BG"/>
        </w:rPr>
        <w:t>ПЛАНИРАНА НОВА ФУНКЦИОНАЛНОСТ</w:t>
      </w:r>
      <w:r w:rsidRPr="00D8231E">
        <w:rPr>
          <w:rFonts w:ascii="Times New Roman" w:hAnsi="Times New Roman" w:cs="Times New Roman"/>
          <w:b/>
          <w:sz w:val="32"/>
          <w:szCs w:val="32"/>
          <w:lang w:val="bg-BG"/>
        </w:rPr>
        <w:br/>
        <w:t>В РЕГИСТЪРА НА БАНКОВИТЕ СМЕТКИ И СЕЙФОВЕ</w:t>
      </w:r>
      <w:r w:rsidRPr="00D8231E">
        <w:rPr>
          <w:rFonts w:ascii="Times New Roman" w:hAnsi="Times New Roman" w:cs="Times New Roman"/>
          <w:b/>
          <w:sz w:val="32"/>
          <w:szCs w:val="32"/>
          <w:lang w:val="bg-BG"/>
        </w:rPr>
        <w:br/>
        <w:t>ЗА РЕАЛИЗАЦИЯ ПО ВРЕМЕ НА ИЗПЪЛНЕНИЕ</w:t>
      </w:r>
      <w:r w:rsidRPr="00D8231E">
        <w:rPr>
          <w:rFonts w:ascii="Times New Roman" w:hAnsi="Times New Roman" w:cs="Times New Roman"/>
          <w:b/>
          <w:sz w:val="32"/>
          <w:szCs w:val="32"/>
          <w:lang w:val="bg-BG"/>
        </w:rPr>
        <w:br/>
        <w:t xml:space="preserve">НА ДОГОВОРА ЗА </w:t>
      </w:r>
      <w:r w:rsidR="00A869DA" w:rsidRPr="005F2343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АБОНАМЕНТНО ОБСЛУЖВАНЕ И ФУНКЦИОНАЛНО РАЗВИТИЕ</w:t>
      </w:r>
    </w:p>
    <w:p w14:paraId="4B0B6F95" w14:textId="77777777" w:rsidR="002C141C" w:rsidRDefault="002C141C" w:rsidP="002C141C">
      <w:pPr>
        <w:spacing w:after="0" w:line="360" w:lineRule="auto"/>
        <w:rPr>
          <w:rFonts w:ascii="Times New Roman" w:hAnsi="Times New Roman" w:cs="Times New Roman"/>
          <w:b/>
          <w:sz w:val="32"/>
          <w:szCs w:val="32"/>
          <w:lang w:val="bg-BG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</w:rPr>
        <w:id w:val="1696806956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7040658" w14:textId="77777777" w:rsidR="004D3E84" w:rsidRDefault="004D3E84">
          <w:pPr>
            <w:pStyle w:val="TOCHeading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val="bg-BG"/>
            </w:rPr>
          </w:pPr>
        </w:p>
        <w:p w14:paraId="3C02A7A9" w14:textId="77777777" w:rsidR="004D3E84" w:rsidRDefault="004D3E84">
          <w:pPr>
            <w:pStyle w:val="TOCHeading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val="bg-BG"/>
            </w:rPr>
          </w:pPr>
        </w:p>
        <w:p w14:paraId="4CE6C859" w14:textId="77777777" w:rsidR="004D3E84" w:rsidRDefault="004D3E84">
          <w:pPr>
            <w:pStyle w:val="TOCHeading"/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val="bg-BG"/>
            </w:rPr>
          </w:pPr>
        </w:p>
        <w:p w14:paraId="49673577" w14:textId="707462E4" w:rsidR="002C141C" w:rsidRDefault="002C141C">
          <w:pPr>
            <w:pStyle w:val="TOCHeading"/>
            <w:rPr>
              <w:rFonts w:ascii="Times New Roman" w:hAnsi="Times New Roman" w:cs="Times New Roman"/>
              <w:b/>
              <w:color w:val="auto"/>
              <w:sz w:val="24"/>
              <w:szCs w:val="24"/>
              <w:lang w:val="bg-BG"/>
            </w:rPr>
          </w:pPr>
          <w:r w:rsidRPr="002C141C">
            <w:rPr>
              <w:rFonts w:ascii="Times New Roman" w:hAnsi="Times New Roman" w:cs="Times New Roman"/>
              <w:b/>
              <w:color w:val="auto"/>
              <w:sz w:val="24"/>
              <w:szCs w:val="24"/>
              <w:lang w:val="bg-BG"/>
            </w:rPr>
            <w:t>Съдържание</w:t>
          </w:r>
        </w:p>
        <w:p w14:paraId="4B6A9407" w14:textId="77777777" w:rsidR="00D85DFD" w:rsidRPr="00D85DFD" w:rsidRDefault="00D85DFD" w:rsidP="00D85DFD">
          <w:pPr>
            <w:rPr>
              <w:lang w:val="bg-BG"/>
            </w:rPr>
          </w:pPr>
        </w:p>
        <w:p w14:paraId="06196BB4" w14:textId="77777777" w:rsidR="00D85DFD" w:rsidRDefault="002C141C">
          <w:pPr>
            <w:pStyle w:val="TOC1"/>
            <w:rPr>
              <w:rFonts w:eastAsiaTheme="minorEastAsia"/>
              <w:noProof/>
              <w:lang w:val="bg-BG" w:eastAsia="bg-BG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11811674" w:history="1">
            <w:r w:rsidR="00D85DFD" w:rsidRPr="00DD40D4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I.</w:t>
            </w:r>
            <w:r w:rsidR="00D85DFD">
              <w:rPr>
                <w:rFonts w:eastAsiaTheme="minorEastAsia"/>
                <w:noProof/>
                <w:lang w:val="bg-BG" w:eastAsia="bg-BG"/>
              </w:rPr>
              <w:tab/>
            </w:r>
            <w:r w:rsidR="00D85DFD" w:rsidRPr="00DD40D4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Специфична информация за сметки на държавния бюджет, в допълнение към наличната информация в Регистъра на банковите сметки и сейфове</w:t>
            </w:r>
            <w:r w:rsidR="00D85DFD">
              <w:rPr>
                <w:noProof/>
                <w:webHidden/>
              </w:rPr>
              <w:tab/>
            </w:r>
            <w:r w:rsidR="00D85DFD">
              <w:rPr>
                <w:noProof/>
                <w:webHidden/>
              </w:rPr>
              <w:fldChar w:fldCharType="begin"/>
            </w:r>
            <w:r w:rsidR="00D85DFD">
              <w:rPr>
                <w:noProof/>
                <w:webHidden/>
              </w:rPr>
              <w:instrText xml:space="preserve"> PAGEREF _Toc511811674 \h </w:instrText>
            </w:r>
            <w:r w:rsidR="00D85DFD">
              <w:rPr>
                <w:noProof/>
                <w:webHidden/>
              </w:rPr>
            </w:r>
            <w:r w:rsidR="00D85DFD">
              <w:rPr>
                <w:noProof/>
                <w:webHidden/>
              </w:rPr>
              <w:fldChar w:fldCharType="separate"/>
            </w:r>
            <w:r w:rsidR="004D3E84">
              <w:rPr>
                <w:noProof/>
                <w:webHidden/>
              </w:rPr>
              <w:t>3</w:t>
            </w:r>
            <w:r w:rsidR="00D85DFD">
              <w:rPr>
                <w:noProof/>
                <w:webHidden/>
              </w:rPr>
              <w:fldChar w:fldCharType="end"/>
            </w:r>
          </w:hyperlink>
        </w:p>
        <w:p w14:paraId="1845978F" w14:textId="77777777" w:rsidR="00D85DFD" w:rsidRDefault="00D85DFD">
          <w:pPr>
            <w:pStyle w:val="TOC2"/>
            <w:tabs>
              <w:tab w:val="left" w:pos="660"/>
              <w:tab w:val="right" w:leader="dot" w:pos="9515"/>
            </w:tabs>
            <w:rPr>
              <w:rFonts w:eastAsiaTheme="minorEastAsia"/>
              <w:noProof/>
              <w:lang w:val="bg-BG" w:eastAsia="bg-BG"/>
            </w:rPr>
          </w:pPr>
          <w:hyperlink w:anchor="_Toc511811675" w:history="1">
            <w:r w:rsidRPr="00DD40D4">
              <w:rPr>
                <w:rStyle w:val="Hyperlink"/>
                <w:rFonts w:ascii="Symbol" w:hAnsi="Symbol" w:cs="Times New Roman"/>
                <w:noProof/>
                <w:lang w:val="bg-BG"/>
              </w:rPr>
              <w:t></w:t>
            </w:r>
            <w:r>
              <w:rPr>
                <w:rFonts w:eastAsiaTheme="minorEastAsia"/>
                <w:noProof/>
                <w:lang w:val="bg-BG" w:eastAsia="bg-BG"/>
              </w:rPr>
              <w:tab/>
            </w:r>
            <w:r w:rsidRPr="00DD40D4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Допълнителни реквизити към записите за бюджетни сметки: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_Toc511811675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3E8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D40125" w14:textId="77777777" w:rsidR="00D85DFD" w:rsidRDefault="00D85DFD">
          <w:pPr>
            <w:pStyle w:val="TOC2"/>
            <w:tabs>
              <w:tab w:val="left" w:pos="660"/>
              <w:tab w:val="right" w:leader="dot" w:pos="9515"/>
            </w:tabs>
            <w:rPr>
              <w:rFonts w:eastAsiaTheme="minorEastAsia"/>
              <w:noProof/>
              <w:lang w:val="bg-BG" w:eastAsia="bg-BG"/>
            </w:rPr>
          </w:pPr>
          <w:hyperlink w:anchor="_Toc511811676" w:history="1">
            <w:r w:rsidRPr="00DD40D4">
              <w:rPr>
                <w:rStyle w:val="Hyperlink"/>
                <w:rFonts w:ascii="Symbol" w:hAnsi="Symbol" w:cs="Times New Roman"/>
                <w:noProof/>
                <w:lang w:val="bg-BG"/>
              </w:rPr>
              <w:t></w:t>
            </w:r>
            <w:r>
              <w:rPr>
                <w:rFonts w:eastAsiaTheme="minorEastAsia"/>
                <w:noProof/>
                <w:lang w:val="bg-BG" w:eastAsia="bg-BG"/>
              </w:rPr>
              <w:tab/>
            </w:r>
            <w:r w:rsidRPr="00DD40D4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Допълнителни реквизити към записите за титуляр на бюджетните сметки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_Toc511811676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3E8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3CCB20" w14:textId="77777777" w:rsidR="00D85DFD" w:rsidRDefault="00D85DFD">
          <w:pPr>
            <w:pStyle w:val="TOC2"/>
            <w:tabs>
              <w:tab w:val="left" w:pos="660"/>
              <w:tab w:val="right" w:leader="dot" w:pos="9515"/>
            </w:tabs>
            <w:rPr>
              <w:rFonts w:eastAsiaTheme="minorEastAsia"/>
              <w:noProof/>
              <w:lang w:val="bg-BG" w:eastAsia="bg-BG"/>
            </w:rPr>
          </w:pPr>
          <w:hyperlink w:anchor="_Toc511811677" w:history="1">
            <w:r w:rsidRPr="00DD40D4">
              <w:rPr>
                <w:rStyle w:val="Hyperlink"/>
                <w:rFonts w:ascii="Symbol" w:hAnsi="Symbol" w:cs="Times New Roman"/>
                <w:noProof/>
                <w:lang w:val="bg-BG"/>
              </w:rPr>
              <w:t></w:t>
            </w:r>
            <w:r>
              <w:rPr>
                <w:rFonts w:eastAsiaTheme="minorEastAsia"/>
                <w:noProof/>
                <w:lang w:val="bg-BG" w:eastAsia="bg-BG"/>
              </w:rPr>
              <w:tab/>
            </w:r>
            <w:r w:rsidRPr="00DD40D4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Оперативни</w:t>
            </w:r>
            <w:r w:rsidRPr="00DD40D4">
              <w:rPr>
                <w:rStyle w:val="Hyperlink"/>
                <w:rFonts w:ascii="Times New Roman" w:hAnsi="Times New Roman" w:cs="Times New Roman"/>
                <w:noProof/>
                <w:lang w:val="bg-BG"/>
              </w:rPr>
              <w:t xml:space="preserve"> </w:t>
            </w:r>
            <w:r w:rsidRPr="00DD40D4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и аналитични справки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_Toc511811677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3E8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494691" w14:textId="77777777" w:rsidR="00D85DFD" w:rsidRDefault="00D85DFD">
          <w:pPr>
            <w:pStyle w:val="TOC2"/>
            <w:tabs>
              <w:tab w:val="left" w:pos="660"/>
              <w:tab w:val="right" w:leader="dot" w:pos="9515"/>
            </w:tabs>
            <w:rPr>
              <w:rFonts w:eastAsiaTheme="minorEastAsia"/>
              <w:noProof/>
              <w:lang w:val="bg-BG" w:eastAsia="bg-BG"/>
            </w:rPr>
          </w:pPr>
          <w:hyperlink w:anchor="_Toc511811678" w:history="1">
            <w:r w:rsidRPr="00DD40D4">
              <w:rPr>
                <w:rStyle w:val="Hyperlink"/>
                <w:rFonts w:ascii="Symbol" w:hAnsi="Symbol" w:cs="Times New Roman"/>
                <w:noProof/>
                <w:lang w:val="bg-BG"/>
              </w:rPr>
              <w:t></w:t>
            </w:r>
            <w:r>
              <w:rPr>
                <w:rFonts w:eastAsiaTheme="minorEastAsia"/>
                <w:noProof/>
                <w:lang w:val="bg-BG" w:eastAsia="bg-BG"/>
              </w:rPr>
              <w:tab/>
            </w:r>
            <w:r w:rsidRPr="00DD40D4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Нови права и роли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_Toc511811678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3E8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1250E81" w14:textId="77777777" w:rsidR="00D85DFD" w:rsidRDefault="00D85DFD">
          <w:pPr>
            <w:pStyle w:val="TOC1"/>
            <w:rPr>
              <w:rFonts w:eastAsiaTheme="minorEastAsia"/>
              <w:noProof/>
              <w:lang w:val="bg-BG" w:eastAsia="bg-BG"/>
            </w:rPr>
          </w:pPr>
          <w:hyperlink w:anchor="_Toc511811679" w:history="1">
            <w:r w:rsidRPr="00DD40D4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II.</w:t>
            </w:r>
            <w:r>
              <w:rPr>
                <w:rFonts w:eastAsiaTheme="minorEastAsia"/>
                <w:noProof/>
                <w:lang w:val="bg-BG" w:eastAsia="bg-BG"/>
              </w:rPr>
              <w:tab/>
            </w:r>
            <w:r w:rsidRPr="00DD40D4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Електронни административни услуги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_Toc511811679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3E84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AA3EEE" w14:textId="77777777" w:rsidR="00D85DFD" w:rsidRDefault="00D85DFD">
          <w:pPr>
            <w:pStyle w:val="TOC1"/>
            <w:rPr>
              <w:rFonts w:eastAsiaTheme="minorEastAsia"/>
              <w:noProof/>
              <w:lang w:val="bg-BG" w:eastAsia="bg-BG"/>
            </w:rPr>
          </w:pPr>
          <w:hyperlink w:anchor="_Toc511811680" w:history="1">
            <w:r w:rsidRPr="00DD40D4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III.</w:t>
            </w:r>
            <w:r>
              <w:rPr>
                <w:rFonts w:eastAsiaTheme="minorEastAsia"/>
                <w:noProof/>
                <w:lang w:val="bg-BG" w:eastAsia="bg-BG"/>
              </w:rPr>
              <w:tab/>
            </w:r>
            <w:r w:rsidRPr="00DD40D4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Доработки, свързани с привеждане на РБСС в съответствие с Регламент (ЕС) 2016/679 на Европейския парламент и на Съвета от 27 април 2016 година относно защитата на физическите лица във връзка с обработването на лични данни и относно свободното движение на такива данни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_Toc511811680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3E84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3D2906" w14:textId="77777777" w:rsidR="00D85DFD" w:rsidRDefault="00D85DFD">
          <w:pPr>
            <w:pStyle w:val="TOC1"/>
            <w:rPr>
              <w:rFonts w:eastAsiaTheme="minorEastAsia"/>
              <w:noProof/>
              <w:lang w:val="bg-BG" w:eastAsia="bg-BG"/>
            </w:rPr>
          </w:pPr>
          <w:hyperlink w:anchor="_Toc511811681" w:history="1">
            <w:r w:rsidRPr="00DD40D4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IV.</w:t>
            </w:r>
            <w:r>
              <w:rPr>
                <w:rFonts w:eastAsiaTheme="minorEastAsia"/>
                <w:noProof/>
                <w:lang w:val="bg-BG" w:eastAsia="bg-BG"/>
              </w:rPr>
              <w:tab/>
            </w:r>
            <w:r w:rsidRPr="00DD40D4">
              <w:rPr>
                <w:rStyle w:val="Hyperlink"/>
                <w:rFonts w:ascii="Times New Roman" w:hAnsi="Times New Roman" w:cs="Times New Roman"/>
                <w:b/>
                <w:noProof/>
                <w:lang w:val="bg-BG"/>
              </w:rPr>
              <w:t>Доработки, свързани със спазване на срока на съхранение на данните в РБСС, съгласно чл. 56а, ал. 9 от Закона за кредитните институции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_Toc511811681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D3E84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77AE92E" w14:textId="5802069D" w:rsidR="002C141C" w:rsidRDefault="002C141C">
          <w:r>
            <w:rPr>
              <w:b/>
              <w:bCs/>
              <w:noProof/>
            </w:rPr>
            <w:fldChar w:fldCharType="end"/>
          </w:r>
        </w:p>
      </w:sdtContent>
    </w:sdt>
    <w:p w14:paraId="2CB5BA13" w14:textId="244CAD0D" w:rsidR="00D85DFD" w:rsidRDefault="00D85DFD">
      <w:pPr>
        <w:rPr>
          <w:rFonts w:ascii="Times New Roman" w:hAnsi="Times New Roman" w:cs="Times New Roman"/>
          <w:b/>
          <w:sz w:val="32"/>
          <w:szCs w:val="32"/>
          <w:lang w:val="bg-BG"/>
        </w:rPr>
      </w:pPr>
      <w:r>
        <w:rPr>
          <w:rFonts w:ascii="Times New Roman" w:hAnsi="Times New Roman" w:cs="Times New Roman"/>
          <w:b/>
          <w:sz w:val="32"/>
          <w:szCs w:val="32"/>
          <w:lang w:val="bg-BG"/>
        </w:rPr>
        <w:br w:type="page"/>
      </w:r>
    </w:p>
    <w:p w14:paraId="2C978232" w14:textId="77777777" w:rsidR="004C4EDC" w:rsidRPr="00D8231E" w:rsidRDefault="004C4EDC" w:rsidP="002C141C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  <w:lang w:val="bg-BG"/>
        </w:rPr>
      </w:pPr>
    </w:p>
    <w:p w14:paraId="49F16259" w14:textId="76742D4B" w:rsidR="0069692A" w:rsidRDefault="0069692A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Новите функционалности за реализация в информационната система на Регистъра на банковите сметки и сейфове и сроковете за тях са в резултат на </w:t>
      </w:r>
      <w:r w:rsidR="00D20BBB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промени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в законодателната и нормативната уредба на дейността на регистъра.</w:t>
      </w:r>
    </w:p>
    <w:p w14:paraId="3E587237" w14:textId="77777777" w:rsidR="002C141C" w:rsidRPr="00D8231E" w:rsidRDefault="002C141C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C56D569" w14:textId="4D22E223" w:rsidR="009B21C3" w:rsidRPr="002C141C" w:rsidRDefault="008D1568" w:rsidP="002C141C">
      <w:pPr>
        <w:pStyle w:val="ListParagraph"/>
        <w:keepNext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bookmarkStart w:id="1" w:name="_Toc511811674"/>
      <w:r w:rsidRPr="002C141C">
        <w:rPr>
          <w:rStyle w:val="Heading1Char"/>
          <w:rFonts w:ascii="Times New Roman" w:hAnsi="Times New Roman" w:cs="Times New Roman"/>
          <w:b/>
          <w:color w:val="auto"/>
          <w:sz w:val="24"/>
          <w:szCs w:val="24"/>
          <w:lang w:val="bg-BG"/>
        </w:rPr>
        <w:t>Специфична информация за сметки</w:t>
      </w:r>
      <w:r w:rsidR="00EC1027" w:rsidRPr="002C141C">
        <w:rPr>
          <w:rStyle w:val="Heading1Char"/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="009B21C3" w:rsidRPr="002C141C">
        <w:rPr>
          <w:rStyle w:val="Heading1Char"/>
          <w:rFonts w:ascii="Times New Roman" w:hAnsi="Times New Roman" w:cs="Times New Roman"/>
          <w:b/>
          <w:color w:val="auto"/>
          <w:sz w:val="24"/>
          <w:szCs w:val="24"/>
          <w:lang w:val="bg-BG"/>
        </w:rPr>
        <w:t>на държавния бюджет</w:t>
      </w:r>
      <w:r w:rsidR="00344AF6" w:rsidRPr="002C141C">
        <w:rPr>
          <w:rStyle w:val="Heading1Char"/>
          <w:rFonts w:ascii="Times New Roman" w:hAnsi="Times New Roman" w:cs="Times New Roman"/>
          <w:b/>
          <w:color w:val="auto"/>
          <w:sz w:val="24"/>
          <w:szCs w:val="24"/>
          <w:lang w:val="bg-BG"/>
        </w:rPr>
        <w:t>,</w:t>
      </w:r>
      <w:r w:rsidR="002C141C">
        <w:rPr>
          <w:rStyle w:val="Heading1Char"/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Pr="002C141C">
        <w:rPr>
          <w:rStyle w:val="Heading1Char"/>
          <w:rFonts w:ascii="Times New Roman" w:hAnsi="Times New Roman" w:cs="Times New Roman"/>
          <w:b/>
          <w:color w:val="auto"/>
          <w:sz w:val="24"/>
          <w:szCs w:val="24"/>
          <w:lang w:val="bg-BG"/>
        </w:rPr>
        <w:t>в допълнение</w:t>
      </w:r>
      <w:r w:rsidR="00EC1027" w:rsidRPr="002C141C">
        <w:rPr>
          <w:rStyle w:val="Heading1Char"/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Pr="002C141C">
        <w:rPr>
          <w:rStyle w:val="Heading1Char"/>
          <w:rFonts w:ascii="Times New Roman" w:hAnsi="Times New Roman" w:cs="Times New Roman"/>
          <w:b/>
          <w:color w:val="auto"/>
          <w:sz w:val="24"/>
          <w:szCs w:val="24"/>
          <w:lang w:val="bg-BG"/>
        </w:rPr>
        <w:t>към наличната информация</w:t>
      </w:r>
      <w:r w:rsidR="002C141C">
        <w:rPr>
          <w:rStyle w:val="Heading1Char"/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="0069692A" w:rsidRPr="002C141C">
        <w:rPr>
          <w:rStyle w:val="Heading1Char"/>
          <w:rFonts w:ascii="Times New Roman" w:hAnsi="Times New Roman" w:cs="Times New Roman"/>
          <w:b/>
          <w:color w:val="auto"/>
          <w:sz w:val="24"/>
          <w:szCs w:val="24"/>
          <w:lang w:val="bg-BG"/>
        </w:rPr>
        <w:t>в Регистъра на банковите сметки и сейфове</w:t>
      </w:r>
      <w:bookmarkEnd w:id="1"/>
    </w:p>
    <w:p w14:paraId="3A45F842" w14:textId="146258BB" w:rsidR="009327BA" w:rsidRPr="00D8231E" w:rsidRDefault="009327BA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В информационната система на Регистъра на банковите сметки и сейфове </w:t>
      </w:r>
      <w:r w:rsidR="00EE2292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(РБСС)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ще се включи допълнителна информация за сметките на бюджетните организации и лицат</w:t>
      </w:r>
      <w:r w:rsidR="00E25E32">
        <w:rPr>
          <w:rFonts w:ascii="Times New Roman" w:hAnsi="Times New Roman" w:cs="Times New Roman"/>
          <w:sz w:val="24"/>
          <w:szCs w:val="24"/>
          <w:lang w:val="bg-BG"/>
        </w:rPr>
        <w:t>а по чл. 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156 от Закона за публичните финанси, характеризираща тези сметки и титулярите им. </w:t>
      </w:r>
      <w:r w:rsidR="00344AF6" w:rsidRPr="00D8231E">
        <w:rPr>
          <w:rFonts w:ascii="Times New Roman" w:hAnsi="Times New Roman" w:cs="Times New Roman"/>
          <w:sz w:val="24"/>
          <w:szCs w:val="24"/>
          <w:lang w:val="bg-BG"/>
        </w:rPr>
        <w:t>Новата функционалност, свързана с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тази допълнителна информация</w:t>
      </w:r>
      <w:r w:rsidR="00344AF6" w:rsidRPr="00D8231E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ще бъде реализирана след съгласуване с </w:t>
      </w:r>
      <w:r w:rsidR="000358A2" w:rsidRPr="00A67A43">
        <w:rPr>
          <w:rFonts w:ascii="Times New Roman" w:hAnsi="Times New Roman" w:cs="Times New Roman"/>
          <w:sz w:val="24"/>
          <w:szCs w:val="24"/>
          <w:lang w:val="bg-BG"/>
        </w:rPr>
        <w:t>М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инист</w:t>
      </w:r>
      <w:r w:rsidR="000358A2" w:rsidRPr="00D8231E">
        <w:rPr>
          <w:rFonts w:ascii="Times New Roman" w:hAnsi="Times New Roman" w:cs="Times New Roman"/>
          <w:sz w:val="24"/>
          <w:szCs w:val="24"/>
          <w:lang w:val="bg-BG"/>
        </w:rPr>
        <w:t>ерството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финансите.</w:t>
      </w:r>
      <w:r w:rsidR="00344AF6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Предвиждат се следните промени и допълнения:</w:t>
      </w:r>
    </w:p>
    <w:p w14:paraId="2951D106" w14:textId="77777777" w:rsidR="009327BA" w:rsidRPr="002C141C" w:rsidRDefault="009327BA" w:rsidP="002C141C">
      <w:pPr>
        <w:pStyle w:val="Heading2"/>
        <w:numPr>
          <w:ilvl w:val="0"/>
          <w:numId w:val="13"/>
        </w:numPr>
        <w:spacing w:before="0" w:line="360" w:lineRule="auto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bookmarkStart w:id="2" w:name="_Toc511811675"/>
      <w:r w:rsidRPr="002C141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Допълнителни реквизити към записите за бюджетни сметки:</w:t>
      </w:r>
      <w:bookmarkEnd w:id="2"/>
    </w:p>
    <w:p w14:paraId="42CC8CE0" w14:textId="77777777" w:rsidR="009327BA" w:rsidRPr="002C141C" w:rsidRDefault="009327BA" w:rsidP="0009310A">
      <w:pPr>
        <w:pStyle w:val="ListParagraph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C141C">
        <w:rPr>
          <w:rFonts w:ascii="Times New Roman" w:hAnsi="Times New Roman" w:cs="Times New Roman"/>
          <w:sz w:val="24"/>
          <w:szCs w:val="24"/>
          <w:lang w:val="bg-BG"/>
        </w:rPr>
        <w:t>код (</w:t>
      </w:r>
      <w:proofErr w:type="spellStart"/>
      <w:r w:rsidRPr="002C141C">
        <w:rPr>
          <w:rFonts w:ascii="Times New Roman" w:hAnsi="Times New Roman" w:cs="Times New Roman"/>
          <w:sz w:val="24"/>
          <w:szCs w:val="24"/>
          <w:lang w:val="bg-BG"/>
        </w:rPr>
        <w:t>четириразряден</w:t>
      </w:r>
      <w:proofErr w:type="spellEnd"/>
      <w:r w:rsidRPr="002C141C">
        <w:rPr>
          <w:rFonts w:ascii="Times New Roman" w:hAnsi="Times New Roman" w:cs="Times New Roman"/>
          <w:sz w:val="24"/>
          <w:szCs w:val="24"/>
          <w:lang w:val="bg-BG"/>
        </w:rPr>
        <w:t>) за вида и характера на сметка за целите на банковото обслужване, съгласно Приложение № 1 от съвместно указание на МФ и БНБ ДДС № 09/2015 г.;</w:t>
      </w:r>
    </w:p>
    <w:p w14:paraId="3C4541F8" w14:textId="77777777" w:rsidR="009327BA" w:rsidRPr="002C141C" w:rsidRDefault="009327BA" w:rsidP="0009310A">
      <w:pPr>
        <w:pStyle w:val="ListParagraph"/>
        <w:numPr>
          <w:ilvl w:val="0"/>
          <w:numId w:val="6"/>
        </w:numPr>
        <w:tabs>
          <w:tab w:val="left" w:pos="993"/>
        </w:tabs>
        <w:spacing w:after="0" w:line="360" w:lineRule="auto"/>
        <w:ind w:left="1134" w:hanging="567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C141C">
        <w:rPr>
          <w:rFonts w:ascii="Times New Roman" w:hAnsi="Times New Roman" w:cs="Times New Roman"/>
          <w:sz w:val="24"/>
          <w:szCs w:val="24"/>
          <w:lang w:val="bg-BG"/>
        </w:rPr>
        <w:t>код (</w:t>
      </w:r>
      <w:proofErr w:type="spellStart"/>
      <w:r w:rsidRPr="002C141C">
        <w:rPr>
          <w:rFonts w:ascii="Times New Roman" w:hAnsi="Times New Roman" w:cs="Times New Roman"/>
          <w:sz w:val="24"/>
          <w:szCs w:val="24"/>
          <w:lang w:val="bg-BG"/>
        </w:rPr>
        <w:t>шестразряден</w:t>
      </w:r>
      <w:proofErr w:type="spellEnd"/>
      <w:r w:rsidRPr="002C141C">
        <w:rPr>
          <w:rFonts w:ascii="Times New Roman" w:hAnsi="Times New Roman" w:cs="Times New Roman"/>
          <w:sz w:val="24"/>
          <w:szCs w:val="24"/>
          <w:lang w:val="bg-BG"/>
        </w:rPr>
        <w:t>) – само за сметки 7301 и 6301 в БНБ;</w:t>
      </w:r>
    </w:p>
    <w:p w14:paraId="4800A3B4" w14:textId="77777777" w:rsidR="009327BA" w:rsidRPr="002C141C" w:rsidRDefault="009327BA" w:rsidP="0009310A">
      <w:pPr>
        <w:pStyle w:val="ListParagraph"/>
        <w:numPr>
          <w:ilvl w:val="0"/>
          <w:numId w:val="6"/>
        </w:numPr>
        <w:tabs>
          <w:tab w:val="left" w:pos="993"/>
        </w:tabs>
        <w:spacing w:after="0" w:line="360" w:lineRule="auto"/>
        <w:ind w:left="1134" w:hanging="567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C141C">
        <w:rPr>
          <w:rFonts w:ascii="Times New Roman" w:hAnsi="Times New Roman" w:cs="Times New Roman"/>
          <w:sz w:val="24"/>
          <w:szCs w:val="24"/>
          <w:lang w:val="bg-BG"/>
        </w:rPr>
        <w:t>характеристики на бюджетните сметки:</w:t>
      </w:r>
    </w:p>
    <w:p w14:paraId="5B951DB6" w14:textId="77777777" w:rsidR="009327BA" w:rsidRPr="002C141C" w:rsidRDefault="009327BA" w:rsidP="002C141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C141C">
        <w:rPr>
          <w:rFonts w:ascii="Times New Roman" w:hAnsi="Times New Roman" w:cs="Times New Roman"/>
          <w:sz w:val="24"/>
          <w:szCs w:val="24"/>
          <w:lang w:val="bg-BG"/>
        </w:rPr>
        <w:t xml:space="preserve">а) транзитна сметка - може да се идентифицира чрез кода за централизация на транзитни сметки 98 77 </w:t>
      </w:r>
      <w:proofErr w:type="spellStart"/>
      <w:r w:rsidRPr="002C141C">
        <w:rPr>
          <w:rFonts w:ascii="Times New Roman" w:hAnsi="Times New Roman" w:cs="Times New Roman"/>
          <w:sz w:val="24"/>
          <w:szCs w:val="24"/>
          <w:lang w:val="bg-BG"/>
        </w:rPr>
        <w:t>77</w:t>
      </w:r>
      <w:proofErr w:type="spellEnd"/>
      <w:r w:rsidRPr="002C141C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2A1A97C" w14:textId="4CB7D7F1" w:rsidR="009327BA" w:rsidRPr="002C141C" w:rsidRDefault="009327BA" w:rsidP="002C141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C141C">
        <w:rPr>
          <w:rFonts w:ascii="Times New Roman" w:hAnsi="Times New Roman" w:cs="Times New Roman"/>
          <w:sz w:val="24"/>
          <w:szCs w:val="24"/>
          <w:lang w:val="bg-BG"/>
        </w:rPr>
        <w:t xml:space="preserve">б) сметка за наличности - идентифицира се чрез кода за централизация на сметки за наличности 98 66 </w:t>
      </w:r>
      <w:proofErr w:type="spellStart"/>
      <w:r w:rsidRPr="002C141C">
        <w:rPr>
          <w:rFonts w:ascii="Times New Roman" w:hAnsi="Times New Roman" w:cs="Times New Roman"/>
          <w:sz w:val="24"/>
          <w:szCs w:val="24"/>
          <w:lang w:val="bg-BG"/>
        </w:rPr>
        <w:t>66</w:t>
      </w:r>
      <w:proofErr w:type="spellEnd"/>
      <w:r w:rsidRPr="002C141C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EEFAFC6" w14:textId="58E34042" w:rsidR="009327BA" w:rsidRPr="002C141C" w:rsidRDefault="009327BA" w:rsidP="002C141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C141C">
        <w:rPr>
          <w:rFonts w:ascii="Times New Roman" w:hAnsi="Times New Roman" w:cs="Times New Roman"/>
          <w:sz w:val="24"/>
          <w:szCs w:val="24"/>
          <w:lang w:val="bg-BG"/>
        </w:rPr>
        <w:t>в) сметка на администратор на публични вземания – сметк</w:t>
      </w:r>
      <w:r w:rsidR="00F20FC5" w:rsidRPr="002C141C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2C141C">
        <w:rPr>
          <w:rFonts w:ascii="Times New Roman" w:hAnsi="Times New Roman" w:cs="Times New Roman"/>
          <w:sz w:val="24"/>
          <w:szCs w:val="24"/>
          <w:lang w:val="bg-BG"/>
        </w:rPr>
        <w:t xml:space="preserve"> с идентификатор за вид сметка 8х, без тези по буква „г“, по които се превеждат съответните суми от задължените лица за данъци, осигуровки, мита, общински данъци и др.; </w:t>
      </w:r>
    </w:p>
    <w:p w14:paraId="1C36FB7A" w14:textId="454F5698" w:rsidR="009327BA" w:rsidRPr="002C141C" w:rsidRDefault="009327BA" w:rsidP="002C141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C141C">
        <w:rPr>
          <w:rFonts w:ascii="Times New Roman" w:hAnsi="Times New Roman" w:cs="Times New Roman"/>
          <w:sz w:val="24"/>
          <w:szCs w:val="24"/>
          <w:lang w:val="bg-BG"/>
        </w:rPr>
        <w:t>г) дебитно-контролираща сметка на администратор на публични вземания (за сметки с идентификатор за вид сметка 81, 82, 84, 85, 86 и 88) – може да се идентифицира чрез кода за вид плащане при централизация и директен дебит: 11 99 хх, 22 99 хх, 44 99 х</w:t>
      </w:r>
      <w:r w:rsidR="006A4130" w:rsidRPr="002C141C">
        <w:rPr>
          <w:rFonts w:ascii="Times New Roman" w:hAnsi="Times New Roman" w:cs="Times New Roman"/>
          <w:sz w:val="24"/>
          <w:szCs w:val="24"/>
          <w:lang w:val="bg-BG"/>
        </w:rPr>
        <w:t>х, 55 99 хх, 56 99 хх, 58 99 хх;</w:t>
      </w:r>
    </w:p>
    <w:p w14:paraId="045A38D0" w14:textId="6AEB1A62" w:rsidR="009327BA" w:rsidRPr="002C141C" w:rsidRDefault="009327BA" w:rsidP="002C141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C141C">
        <w:rPr>
          <w:rFonts w:ascii="Times New Roman" w:hAnsi="Times New Roman" w:cs="Times New Roman"/>
          <w:sz w:val="24"/>
          <w:szCs w:val="24"/>
          <w:lang w:val="bg-BG"/>
        </w:rPr>
        <w:t xml:space="preserve">д) </w:t>
      </w:r>
      <w:proofErr w:type="spellStart"/>
      <w:r w:rsidRPr="002C141C">
        <w:rPr>
          <w:rFonts w:ascii="Times New Roman" w:hAnsi="Times New Roman" w:cs="Times New Roman"/>
          <w:sz w:val="24"/>
          <w:szCs w:val="24"/>
          <w:lang w:val="bg-BG"/>
        </w:rPr>
        <w:t>десетразряден</w:t>
      </w:r>
      <w:proofErr w:type="spellEnd"/>
      <w:r w:rsidRPr="002C141C">
        <w:rPr>
          <w:rFonts w:ascii="Times New Roman" w:hAnsi="Times New Roman" w:cs="Times New Roman"/>
          <w:sz w:val="24"/>
          <w:szCs w:val="24"/>
          <w:lang w:val="bg-BG"/>
        </w:rPr>
        <w:t xml:space="preserve"> код за централизация от дебитно-контролиращи сметки на администратори на публични вземания – прилага се за сметки с идентификатор за вид сметка 81, 82, 85, 86 и 88 (НАП и Агенция „Митниц</w:t>
      </w:r>
      <w:r w:rsidR="006A4130" w:rsidRPr="002C141C">
        <w:rPr>
          <w:rFonts w:ascii="Times New Roman" w:hAnsi="Times New Roman" w:cs="Times New Roman"/>
          <w:sz w:val="24"/>
          <w:szCs w:val="24"/>
          <w:lang w:val="bg-BG"/>
        </w:rPr>
        <w:t>и“);</w:t>
      </w:r>
    </w:p>
    <w:p w14:paraId="14422D9A" w14:textId="368C8C3B" w:rsidR="009327BA" w:rsidRPr="002C141C" w:rsidRDefault="009327BA" w:rsidP="002C141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</w:rPr>
        <w:lastRenderedPageBreak/>
        <w:t xml:space="preserve">е) </w:t>
      </w:r>
      <w:r w:rsidRPr="002C141C">
        <w:rPr>
          <w:rFonts w:ascii="Times New Roman" w:hAnsi="Times New Roman" w:cs="Times New Roman"/>
          <w:sz w:val="24"/>
          <w:szCs w:val="24"/>
          <w:lang w:val="bg-BG"/>
        </w:rPr>
        <w:t>текуща сметка – останалите сметки, без сметките по букви „а“-„д“ и без сметките по буква „ж“;</w:t>
      </w:r>
    </w:p>
    <w:p w14:paraId="49DC1C99" w14:textId="620C3E61" w:rsidR="009327BA" w:rsidRPr="002C141C" w:rsidRDefault="009327BA" w:rsidP="002C141C">
      <w:pPr>
        <w:spacing w:after="0" w:line="360" w:lineRule="auto"/>
        <w:ind w:firstLine="113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C141C">
        <w:rPr>
          <w:rFonts w:ascii="Times New Roman" w:hAnsi="Times New Roman" w:cs="Times New Roman"/>
          <w:sz w:val="24"/>
          <w:szCs w:val="24"/>
          <w:lang w:val="bg-BG"/>
        </w:rPr>
        <w:t>ж) депозитна сметка – сметки, за които се прилага код 1615 и 1625 съгласно Приложение № 1 от съвместно указание на МФ и БНБ ДДС №</w:t>
      </w:r>
      <w:r w:rsidR="00311B2C" w:rsidRPr="002C141C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Pr="002C141C">
        <w:rPr>
          <w:rFonts w:ascii="Times New Roman" w:hAnsi="Times New Roman" w:cs="Times New Roman"/>
          <w:sz w:val="24"/>
          <w:szCs w:val="24"/>
          <w:lang w:val="bg-BG"/>
        </w:rPr>
        <w:t>09/2015</w:t>
      </w:r>
      <w:r w:rsidR="00311B2C" w:rsidRPr="002C141C">
        <w:rPr>
          <w:rFonts w:ascii="Times New Roman" w:hAnsi="Times New Roman" w:cs="Times New Roman"/>
          <w:sz w:val="24"/>
          <w:szCs w:val="24"/>
          <w:lang w:val="bg-BG"/>
        </w:rPr>
        <w:t> </w:t>
      </w:r>
      <w:r w:rsidRPr="002C141C">
        <w:rPr>
          <w:rFonts w:ascii="Times New Roman" w:hAnsi="Times New Roman" w:cs="Times New Roman"/>
          <w:sz w:val="24"/>
          <w:szCs w:val="24"/>
          <w:lang w:val="bg-BG"/>
        </w:rPr>
        <w:t>г.;</w:t>
      </w:r>
    </w:p>
    <w:p w14:paraId="1C420781" w14:textId="3739597D" w:rsidR="009327BA" w:rsidRPr="0009310A" w:rsidRDefault="009327BA" w:rsidP="00E45514">
      <w:pPr>
        <w:spacing w:after="0" w:line="360" w:lineRule="auto"/>
        <w:ind w:left="1701" w:hanging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2C141C">
        <w:rPr>
          <w:rFonts w:ascii="Times New Roman" w:hAnsi="Times New Roman" w:cs="Times New Roman"/>
          <w:sz w:val="24"/>
          <w:szCs w:val="24"/>
          <w:lang w:val="bg-BG"/>
        </w:rPr>
        <w:t xml:space="preserve">з) ден за </w:t>
      </w:r>
      <w:r w:rsidRPr="0009310A">
        <w:rPr>
          <w:rFonts w:ascii="Times New Roman" w:hAnsi="Times New Roman" w:cs="Times New Roman"/>
          <w:sz w:val="24"/>
          <w:szCs w:val="24"/>
          <w:lang w:val="bg-BG"/>
        </w:rPr>
        <w:t>регулярна централизация на транзитна сметка;</w:t>
      </w:r>
    </w:p>
    <w:p w14:paraId="2C26A540" w14:textId="2E2AE47B" w:rsidR="009327BA" w:rsidRPr="0009310A" w:rsidRDefault="009327BA" w:rsidP="00E45514">
      <w:pPr>
        <w:spacing w:after="0" w:line="360" w:lineRule="auto"/>
        <w:ind w:left="1701" w:hanging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10A">
        <w:rPr>
          <w:rFonts w:ascii="Times New Roman" w:hAnsi="Times New Roman" w:cs="Times New Roman"/>
          <w:sz w:val="24"/>
          <w:szCs w:val="24"/>
          <w:lang w:val="bg-BG"/>
        </w:rPr>
        <w:t>и) режим на централизация на транзитна сметка – базисен и друг.</w:t>
      </w:r>
    </w:p>
    <w:p w14:paraId="3820D141" w14:textId="77777777" w:rsidR="008D1568" w:rsidRPr="0009310A" w:rsidRDefault="009327BA" w:rsidP="00E45514">
      <w:pPr>
        <w:pStyle w:val="Heading2"/>
        <w:numPr>
          <w:ilvl w:val="0"/>
          <w:numId w:val="13"/>
        </w:numPr>
        <w:spacing w:before="0" w:line="360" w:lineRule="auto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bookmarkStart w:id="3" w:name="_Toc511811676"/>
      <w:r w:rsidRPr="0009310A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Допълнителни реквизити към записите за титуляр на бюджетните сметки</w:t>
      </w:r>
      <w:bookmarkEnd w:id="3"/>
    </w:p>
    <w:p w14:paraId="619E435E" w14:textId="0BF80C60" w:rsidR="009327BA" w:rsidRPr="0009310A" w:rsidRDefault="008D1568" w:rsidP="00C26EE7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10A"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327BA" w:rsidRPr="0009310A">
        <w:rPr>
          <w:rFonts w:ascii="Times New Roman" w:hAnsi="Times New Roman" w:cs="Times New Roman"/>
          <w:sz w:val="24"/>
          <w:szCs w:val="24"/>
          <w:lang w:val="bg-BG"/>
        </w:rPr>
        <w:t xml:space="preserve">од </w:t>
      </w:r>
      <w:r w:rsidRPr="0009310A">
        <w:rPr>
          <w:rFonts w:ascii="Times New Roman" w:hAnsi="Times New Roman" w:cs="Times New Roman"/>
          <w:sz w:val="24"/>
          <w:szCs w:val="24"/>
          <w:lang w:val="bg-BG"/>
        </w:rPr>
        <w:t>(</w:t>
      </w:r>
      <w:proofErr w:type="spellStart"/>
      <w:r w:rsidRPr="0009310A">
        <w:rPr>
          <w:rFonts w:ascii="Times New Roman" w:hAnsi="Times New Roman" w:cs="Times New Roman"/>
          <w:sz w:val="24"/>
          <w:szCs w:val="24"/>
          <w:lang w:val="bg-BG"/>
        </w:rPr>
        <w:t>четириразряден</w:t>
      </w:r>
      <w:proofErr w:type="spellEnd"/>
      <w:r w:rsidRPr="0009310A">
        <w:rPr>
          <w:rFonts w:ascii="Times New Roman" w:hAnsi="Times New Roman" w:cs="Times New Roman"/>
          <w:sz w:val="24"/>
          <w:szCs w:val="24"/>
          <w:lang w:val="bg-BG"/>
        </w:rPr>
        <w:t xml:space="preserve">) </w:t>
      </w:r>
      <w:r w:rsidR="009327BA" w:rsidRPr="0009310A">
        <w:rPr>
          <w:rFonts w:ascii="Times New Roman" w:hAnsi="Times New Roman" w:cs="Times New Roman"/>
          <w:sz w:val="24"/>
          <w:szCs w:val="24"/>
          <w:lang w:val="bg-BG"/>
        </w:rPr>
        <w:t>на титуляря на сметката съгласно т. 6 от съвместно указание на МФ и БНБ ДДС № 09/2015 г.</w:t>
      </w:r>
    </w:p>
    <w:p w14:paraId="479E9365" w14:textId="049BDD05" w:rsidR="008D1568" w:rsidRPr="0009310A" w:rsidRDefault="008D1568" w:rsidP="00E45514">
      <w:pPr>
        <w:pStyle w:val="Heading2"/>
        <w:numPr>
          <w:ilvl w:val="0"/>
          <w:numId w:val="13"/>
        </w:numPr>
        <w:spacing w:before="0" w:line="360" w:lineRule="auto"/>
        <w:rPr>
          <w:rFonts w:ascii="Times New Roman" w:hAnsi="Times New Roman" w:cs="Times New Roman"/>
          <w:color w:val="auto"/>
          <w:sz w:val="24"/>
          <w:szCs w:val="24"/>
          <w:lang w:val="bg-BG"/>
        </w:rPr>
      </w:pPr>
      <w:bookmarkStart w:id="4" w:name="_Toc511811677"/>
      <w:r w:rsidRPr="0009310A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Оперативни</w:t>
      </w:r>
      <w:r w:rsidRPr="0009310A">
        <w:rPr>
          <w:rFonts w:ascii="Times New Roman" w:hAnsi="Times New Roman" w:cs="Times New Roman"/>
          <w:color w:val="auto"/>
          <w:sz w:val="24"/>
          <w:szCs w:val="24"/>
          <w:lang w:val="bg-BG"/>
        </w:rPr>
        <w:t xml:space="preserve"> </w:t>
      </w:r>
      <w:r w:rsidRPr="0009310A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и аналитични справки</w:t>
      </w:r>
      <w:bookmarkEnd w:id="4"/>
    </w:p>
    <w:p w14:paraId="0F8B530E" w14:textId="77BF3987" w:rsidR="0069692A" w:rsidRPr="00D8231E" w:rsidRDefault="0069692A" w:rsidP="00C26EE7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9310A">
        <w:rPr>
          <w:rFonts w:ascii="Times New Roman" w:hAnsi="Times New Roman" w:cs="Times New Roman"/>
          <w:sz w:val="24"/>
          <w:szCs w:val="24"/>
          <w:lang w:val="bg-BG"/>
        </w:rPr>
        <w:t xml:space="preserve">Промени в </w:t>
      </w:r>
      <w:r w:rsidR="00F20FC5" w:rsidRPr="0009310A">
        <w:rPr>
          <w:rFonts w:ascii="Times New Roman" w:hAnsi="Times New Roman" w:cs="Times New Roman"/>
          <w:sz w:val="24"/>
          <w:szCs w:val="24"/>
          <w:lang w:val="bg-BG"/>
        </w:rPr>
        <w:t>съществуващите</w:t>
      </w:r>
      <w:r w:rsidR="00F20FC5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справки</w:t>
      </w:r>
      <w:r w:rsidR="00D20BBB" w:rsidRPr="00D8231E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20BBB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както и </w:t>
      </w:r>
      <w:r w:rsidR="00F20FC5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разработване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на нови справки на база на допълнителните реквизити към записите за бюджетни сметки.</w:t>
      </w:r>
    </w:p>
    <w:p w14:paraId="0F85D0C2" w14:textId="5B1D095A" w:rsidR="008D1568" w:rsidRPr="002C141C" w:rsidRDefault="008D1568" w:rsidP="002C141C">
      <w:pPr>
        <w:pStyle w:val="Heading2"/>
        <w:numPr>
          <w:ilvl w:val="0"/>
          <w:numId w:val="13"/>
        </w:numPr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bookmarkStart w:id="5" w:name="_Toc511811678"/>
      <w:r w:rsidRPr="002C141C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Нови права и роли</w:t>
      </w:r>
      <w:bookmarkEnd w:id="5"/>
    </w:p>
    <w:p w14:paraId="406664DE" w14:textId="5E06DA8E" w:rsidR="00BF2EC0" w:rsidRPr="00E25E32" w:rsidRDefault="0069692A" w:rsidP="00C26EE7">
      <w:pPr>
        <w:pStyle w:val="ListParagraph"/>
        <w:spacing w:after="0" w:line="36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Регистриране на потребители с нови права </w:t>
      </w:r>
      <w:r w:rsidR="00D20BBB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и роли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в информационната система на Регистъра на банковите сметки и сейфове във връзка с</w:t>
      </w:r>
      <w:r w:rsidR="0011351B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осигуряване на достъп и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получаване на информация за бюджетните сметки.</w:t>
      </w:r>
    </w:p>
    <w:p w14:paraId="7DECE2B1" w14:textId="0C622DF9" w:rsidR="00473DD3" w:rsidRDefault="00BF2EC0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C26EE7">
        <w:rPr>
          <w:rFonts w:ascii="Times New Roman" w:hAnsi="Times New Roman" w:cs="Times New Roman"/>
          <w:b/>
          <w:i/>
          <w:sz w:val="24"/>
          <w:szCs w:val="24"/>
          <w:lang w:val="bg-BG"/>
        </w:rPr>
        <w:t>Срокът за реализация (проектиране,</w:t>
      </w:r>
      <w:r w:rsidR="0034695F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разработване,</w:t>
      </w:r>
      <w:r w:rsidRPr="00C26EE7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тестване и внедряване в реална експлоатация) на функционалността по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2C141C">
        <w:rPr>
          <w:rFonts w:ascii="Times New Roman" w:hAnsi="Times New Roman" w:cs="Times New Roman"/>
          <w:b/>
          <w:i/>
          <w:sz w:val="24"/>
          <w:szCs w:val="24"/>
          <w:lang w:val="bg-BG"/>
        </w:rPr>
        <w:t>т.</w:t>
      </w:r>
      <w:r w:rsidR="0011351B" w:rsidRPr="002C141C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Pr="002C141C">
        <w:rPr>
          <w:rFonts w:ascii="Times New Roman" w:hAnsi="Times New Roman" w:cs="Times New Roman"/>
          <w:b/>
          <w:i/>
          <w:sz w:val="24"/>
          <w:szCs w:val="24"/>
          <w:lang w:val="bg-BG"/>
        </w:rPr>
        <w:t>I е 31.0</w:t>
      </w:r>
      <w:r w:rsidR="00F135D4" w:rsidRPr="002C141C">
        <w:rPr>
          <w:rFonts w:ascii="Times New Roman" w:hAnsi="Times New Roman" w:cs="Times New Roman"/>
          <w:b/>
          <w:i/>
          <w:sz w:val="24"/>
          <w:szCs w:val="24"/>
          <w:lang w:val="bg-BG"/>
        </w:rPr>
        <w:t>3</w:t>
      </w:r>
      <w:r w:rsidRPr="002C141C">
        <w:rPr>
          <w:rFonts w:ascii="Times New Roman" w:hAnsi="Times New Roman" w:cs="Times New Roman"/>
          <w:b/>
          <w:i/>
          <w:sz w:val="24"/>
          <w:szCs w:val="24"/>
          <w:lang w:val="bg-BG"/>
        </w:rPr>
        <w:t>.2019 г.</w:t>
      </w:r>
    </w:p>
    <w:p w14:paraId="00398B08" w14:textId="77777777" w:rsidR="002C141C" w:rsidRPr="00D8231E" w:rsidRDefault="002C141C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4E0B756" w14:textId="75170261" w:rsidR="009B21C3" w:rsidRPr="00C26EE7" w:rsidRDefault="002E756D" w:rsidP="00C26EE7">
      <w:pPr>
        <w:pStyle w:val="Heading1"/>
        <w:numPr>
          <w:ilvl w:val="0"/>
          <w:numId w:val="11"/>
        </w:numPr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bookmarkStart w:id="6" w:name="_Toc511811679"/>
      <w:r w:rsidRPr="00C26EE7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Електронни административни услуги</w:t>
      </w:r>
      <w:bookmarkEnd w:id="6"/>
    </w:p>
    <w:p w14:paraId="1BE64067" w14:textId="1CC4C26A" w:rsidR="00725311" w:rsidRPr="00D8231E" w:rsidRDefault="00725311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Разработването на електронни</w:t>
      </w:r>
      <w:r w:rsidR="009243BD" w:rsidRPr="00D8231E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административни услуги се основава на решение на Управителния съвет на БНБ.</w:t>
      </w:r>
    </w:p>
    <w:p w14:paraId="4631003A" w14:textId="75A0B78C" w:rsidR="002E756D" w:rsidRPr="00D8231E" w:rsidRDefault="002E756D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Информационната система на Регистъра на банковите сметки и сейфове трябва да предоставя електронни услуги на граждани и фирми </w:t>
      </w:r>
      <w:r w:rsidR="00234897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в частта по приемане на исканията за информация от РБСС и в частта по предаване на готовия резултат. </w:t>
      </w:r>
      <w:r w:rsidR="001051B4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Достъпът до РБСС ще се осъществява чрез </w:t>
      </w:r>
      <w:r w:rsidR="00DB4DF2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вход към системата </w:t>
      </w:r>
      <w:r w:rsidR="001051B4" w:rsidRPr="00D8231E">
        <w:rPr>
          <w:rFonts w:ascii="Times New Roman" w:hAnsi="Times New Roman" w:cs="Times New Roman"/>
          <w:sz w:val="24"/>
          <w:szCs w:val="24"/>
          <w:lang w:val="bg-BG"/>
        </w:rPr>
        <w:t>от интернет страницата на БНБ</w:t>
      </w:r>
      <w:r w:rsidR="000B0427" w:rsidRPr="00D8231E">
        <w:rPr>
          <w:rFonts w:ascii="Times New Roman" w:hAnsi="Times New Roman" w:cs="Times New Roman"/>
          <w:sz w:val="24"/>
          <w:szCs w:val="24"/>
          <w:lang w:val="bg-BG"/>
        </w:rPr>
        <w:t>, разположен</w:t>
      </w:r>
      <w:r w:rsidR="001051B4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в рубрика „Регистри и услуги“, </w:t>
      </w:r>
      <w:proofErr w:type="spellStart"/>
      <w:r w:rsidR="001051B4" w:rsidRPr="00D8231E">
        <w:rPr>
          <w:rFonts w:ascii="Times New Roman" w:hAnsi="Times New Roman" w:cs="Times New Roman"/>
          <w:sz w:val="24"/>
          <w:szCs w:val="24"/>
          <w:lang w:val="bg-BG"/>
        </w:rPr>
        <w:t>подрубрика</w:t>
      </w:r>
      <w:proofErr w:type="spellEnd"/>
      <w:r w:rsidR="001051B4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„Електронни административни услуги“</w:t>
      </w:r>
      <w:r w:rsidR="000B0427" w:rsidRPr="00D8231E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0E28284" w14:textId="657BE235" w:rsidR="009B21C3" w:rsidRPr="00D8231E" w:rsidRDefault="000B0427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Лицата, достъпващи електронните административни услуги, трябва да притежават квалифициран</w:t>
      </w:r>
      <w:r w:rsidR="00AE3668" w:rsidRPr="00D8231E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електрон</w:t>
      </w:r>
      <w:r w:rsidR="00AE3668" w:rsidRPr="00D8231E">
        <w:rPr>
          <w:rFonts w:ascii="Times New Roman" w:hAnsi="Times New Roman" w:cs="Times New Roman"/>
          <w:sz w:val="24"/>
          <w:szCs w:val="24"/>
          <w:lang w:val="bg-BG"/>
        </w:rPr>
        <w:t>ни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подпис</w:t>
      </w:r>
      <w:r w:rsidR="00AE3668" w:rsidRPr="00D8231E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4435F4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(КЕП)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AE3668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издадени от регистрираните от Комисията за регулиране на съобщенията доставчици на удостоверителни услуги. Електронните подписи е необходимо да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съдържа</w:t>
      </w:r>
      <w:r w:rsidR="00AE3668" w:rsidRPr="00D8231E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, наред с другата идентифицираща информация, и ЕГН.</w:t>
      </w:r>
    </w:p>
    <w:p w14:paraId="6CB5ECCC" w14:textId="77777777" w:rsidR="000B0427" w:rsidRPr="00D8231E" w:rsidRDefault="000B0427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След прочитане от КЕП на идентификационните данни на лицето</w:t>
      </w:r>
      <w:r w:rsidR="00784251" w:rsidRPr="00D8231E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РБСС трябва да визуализира страница с предлаганите услуги. Те са следните:</w:t>
      </w:r>
    </w:p>
    <w:p w14:paraId="2538E797" w14:textId="4A5A35D4" w:rsidR="00411E07" w:rsidRPr="00D8231E" w:rsidRDefault="000B0427" w:rsidP="002C141C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По</w:t>
      </w:r>
      <w:r w:rsidR="00311B2C" w:rsidRPr="00D8231E">
        <w:rPr>
          <w:rFonts w:ascii="Times New Roman" w:hAnsi="Times New Roman" w:cs="Times New Roman"/>
          <w:sz w:val="24"/>
          <w:szCs w:val="24"/>
          <w:lang w:val="bg-BG"/>
        </w:rPr>
        <w:t>даване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на искане за информация от РБСС</w:t>
      </w:r>
      <w:r w:rsidR="00AB77E2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и съпровождащи документи</w:t>
      </w:r>
    </w:p>
    <w:p w14:paraId="22701C77" w14:textId="1C325E2B" w:rsidR="000B0427" w:rsidRPr="00D8231E" w:rsidRDefault="000B0427" w:rsidP="002C141C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lastRenderedPageBreak/>
        <w:t>Изтегляне на резултата от изпълнено искане</w:t>
      </w:r>
    </w:p>
    <w:p w14:paraId="4200CF15" w14:textId="53534A32" w:rsidR="009243BD" w:rsidRPr="00D8231E" w:rsidRDefault="009243BD" w:rsidP="002C141C">
      <w:pPr>
        <w:pStyle w:val="ListParagraph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Проверка на статус на </w:t>
      </w:r>
      <w:r w:rsidR="00FF7A4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обработка на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искане</w:t>
      </w:r>
    </w:p>
    <w:p w14:paraId="341527E7" w14:textId="1BF2C531" w:rsidR="00D0728A" w:rsidRPr="00D8231E" w:rsidRDefault="00466D60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Към </w:t>
      </w:r>
      <w:r w:rsidR="00D0728A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списъка с услуги </w:t>
      </w:r>
      <w:r w:rsidR="005115D6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D0728A" w:rsidRPr="00D8231E">
        <w:rPr>
          <w:rFonts w:ascii="Times New Roman" w:hAnsi="Times New Roman" w:cs="Times New Roman"/>
          <w:sz w:val="24"/>
          <w:szCs w:val="24"/>
          <w:lang w:val="bg-BG"/>
        </w:rPr>
        <w:t>страницата</w:t>
      </w:r>
      <w:r w:rsidR="005115D6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на регистъра</w:t>
      </w:r>
      <w:r w:rsidR="00D0728A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трябва да</w:t>
      </w:r>
      <w:r w:rsidR="005115D6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се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публикува</w:t>
      </w:r>
      <w:r w:rsidR="00815F20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243BD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и </w:t>
      </w:r>
      <w:r w:rsidR="00D0728A" w:rsidRPr="00D8231E">
        <w:rPr>
          <w:rFonts w:ascii="Times New Roman" w:hAnsi="Times New Roman" w:cs="Times New Roman"/>
          <w:sz w:val="24"/>
          <w:szCs w:val="24"/>
          <w:lang w:val="bg-BG"/>
        </w:rPr>
        <w:t>кратко описание на тези услуги</w:t>
      </w:r>
      <w:r w:rsidR="00E25E32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91193A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и с</w:t>
      </w:r>
      <w:r w:rsidR="00FF7A4F" w:rsidRPr="00D8231E">
        <w:rPr>
          <w:rFonts w:ascii="Times New Roman" w:hAnsi="Times New Roman" w:cs="Times New Roman"/>
          <w:sz w:val="24"/>
          <w:szCs w:val="24"/>
          <w:lang w:val="bg-BG"/>
        </w:rPr>
        <w:t>пецифични условия за изпълнение</w:t>
      </w:r>
      <w:r w:rsidR="00311B2C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то им. </w:t>
      </w:r>
      <w:r w:rsidR="00443E59" w:rsidRPr="00D8231E">
        <w:rPr>
          <w:rFonts w:ascii="Times New Roman" w:hAnsi="Times New Roman" w:cs="Times New Roman"/>
          <w:sz w:val="24"/>
          <w:szCs w:val="24"/>
          <w:lang w:val="bg-BG"/>
        </w:rPr>
        <w:t>Така н</w:t>
      </w:r>
      <w:r w:rsidR="00311B2C" w:rsidRPr="00D8231E">
        <w:rPr>
          <w:rFonts w:ascii="Times New Roman" w:hAnsi="Times New Roman" w:cs="Times New Roman"/>
          <w:sz w:val="24"/>
          <w:szCs w:val="24"/>
          <w:lang w:val="bg-BG"/>
        </w:rPr>
        <w:t>апример,</w:t>
      </w:r>
      <w:r w:rsidR="00FF7A4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услугите със срок 4 часа или 24 часа </w:t>
      </w:r>
      <w:r w:rsidR="00311B2C" w:rsidRPr="00D8231E">
        <w:rPr>
          <w:rFonts w:ascii="Times New Roman" w:hAnsi="Times New Roman" w:cs="Times New Roman"/>
          <w:sz w:val="24"/>
          <w:szCs w:val="24"/>
          <w:lang w:val="bg-BG"/>
        </w:rPr>
        <w:t>изискват</w:t>
      </w:r>
      <w:r w:rsidR="00FF7A4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11B2C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извършено </w:t>
      </w:r>
      <w:r w:rsidR="00FF7A4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плащане чрез </w:t>
      </w:r>
      <w:r w:rsidR="009200EF" w:rsidRPr="00D8231E">
        <w:rPr>
          <w:rFonts w:ascii="Times New Roman" w:hAnsi="Times New Roman" w:cs="Times New Roman"/>
          <w:sz w:val="24"/>
          <w:szCs w:val="24"/>
          <w:lang w:val="bg-BG"/>
        </w:rPr>
        <w:t>виртуалния ПОС терминал на БНБ</w:t>
      </w:r>
      <w:r w:rsidR="00FF7A4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и отчитане на срока съгласно </w:t>
      </w:r>
      <w:r w:rsidR="00311B2C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работното </w:t>
      </w:r>
      <w:r w:rsidR="00FF7A4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време </w:t>
      </w:r>
      <w:r w:rsidR="00311B2C" w:rsidRPr="00D8231E">
        <w:rPr>
          <w:rFonts w:ascii="Times New Roman" w:hAnsi="Times New Roman" w:cs="Times New Roman"/>
          <w:sz w:val="24"/>
          <w:szCs w:val="24"/>
          <w:lang w:val="bg-BG"/>
        </w:rPr>
        <w:t>н</w:t>
      </w:r>
      <w:r w:rsidR="00FF7A4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а </w:t>
      </w:r>
      <w:r w:rsidR="00311B2C" w:rsidRPr="00D8231E">
        <w:rPr>
          <w:rFonts w:ascii="Times New Roman" w:hAnsi="Times New Roman" w:cs="Times New Roman"/>
          <w:sz w:val="24"/>
          <w:szCs w:val="24"/>
          <w:lang w:val="bg-BG"/>
        </w:rPr>
        <w:t>БНБ.</w:t>
      </w:r>
      <w:r w:rsidR="00AC5684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Необходимо е</w:t>
      </w:r>
      <w:r w:rsidR="00815F20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22702" w:rsidRPr="00D8231E">
        <w:rPr>
          <w:rFonts w:ascii="Times New Roman" w:hAnsi="Times New Roman" w:cs="Times New Roman"/>
          <w:sz w:val="24"/>
          <w:szCs w:val="24"/>
          <w:lang w:val="bg-BG"/>
        </w:rPr>
        <w:t>да се добави текст, който да напомня на потребителите, че след определено време могат да проверят резултата от подаденото искане.</w:t>
      </w:r>
    </w:p>
    <w:p w14:paraId="2BA8D38F" w14:textId="5C7C5C0E" w:rsidR="00970A5F" w:rsidRPr="00D8231E" w:rsidRDefault="008B3A7C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У</w:t>
      </w:r>
      <w:r w:rsidR="000B0427" w:rsidRPr="00D8231E">
        <w:rPr>
          <w:rFonts w:ascii="Times New Roman" w:hAnsi="Times New Roman" w:cs="Times New Roman"/>
          <w:sz w:val="24"/>
          <w:szCs w:val="24"/>
          <w:lang w:val="bg-BG"/>
        </w:rPr>
        <w:t>слугата „</w:t>
      </w:r>
      <w:r w:rsidR="00443E59" w:rsidRPr="00D8231E">
        <w:rPr>
          <w:rFonts w:ascii="Times New Roman" w:hAnsi="Times New Roman" w:cs="Times New Roman"/>
          <w:sz w:val="24"/>
          <w:szCs w:val="24"/>
          <w:lang w:val="bg-BG"/>
        </w:rPr>
        <w:t>Подаване на искане за информация от РБСС и съпровождащи документи</w:t>
      </w:r>
      <w:r w:rsidR="000B0427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“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предоставя възможност за попълване на екранна форма (представена чрез една или няколко </w:t>
      </w:r>
      <w:r w:rsidRPr="00D8231E">
        <w:rPr>
          <w:rFonts w:ascii="Times New Roman" w:hAnsi="Times New Roman" w:cs="Times New Roman"/>
          <w:sz w:val="24"/>
          <w:szCs w:val="24"/>
        </w:rPr>
        <w:t>Web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страници) с необходимата за искането информация. Екранната форма трябва да се </w:t>
      </w:r>
      <w:r w:rsidR="00217DC7" w:rsidRPr="00D8231E">
        <w:rPr>
          <w:rFonts w:ascii="Times New Roman" w:hAnsi="Times New Roman" w:cs="Times New Roman"/>
          <w:sz w:val="24"/>
          <w:szCs w:val="24"/>
          <w:lang w:val="bg-BG"/>
        </w:rPr>
        <w:t>разработи в съответствие с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вида на искането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noBreakHyphen/>
        <w:t xml:space="preserve"> за </w:t>
      </w:r>
      <w:r w:rsidR="00FF7A4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физическо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лице,</w:t>
      </w:r>
      <w:r w:rsidR="00EA5D4A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7A4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за наследници,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FF7A4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физическо или юридическо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лице чрез пълномощ</w:t>
      </w:r>
      <w:r w:rsidR="00FF7A4F" w:rsidRPr="00D8231E">
        <w:rPr>
          <w:rFonts w:ascii="Times New Roman" w:hAnsi="Times New Roman" w:cs="Times New Roman"/>
          <w:sz w:val="24"/>
          <w:szCs w:val="24"/>
          <w:lang w:val="bg-BG"/>
        </w:rPr>
        <w:t>ник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, за </w:t>
      </w:r>
      <w:r w:rsidR="00FF7A4F" w:rsidRPr="00D8231E">
        <w:rPr>
          <w:rFonts w:ascii="Times New Roman" w:hAnsi="Times New Roman" w:cs="Times New Roman"/>
          <w:sz w:val="24"/>
          <w:szCs w:val="24"/>
          <w:lang w:val="bg-BG"/>
        </w:rPr>
        <w:t>юридическо лице</w:t>
      </w:r>
      <w:r w:rsidR="00657790" w:rsidRPr="00D8231E">
        <w:rPr>
          <w:rFonts w:ascii="Times New Roman" w:hAnsi="Times New Roman" w:cs="Times New Roman"/>
          <w:sz w:val="24"/>
          <w:szCs w:val="24"/>
          <w:lang w:val="bg-BG"/>
        </w:rPr>
        <w:t>, съгласно</w:t>
      </w:r>
      <w:r w:rsidR="00217DC7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образци</w:t>
      </w:r>
      <w:r w:rsidR="00657790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17DC7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DB4DF2" w:rsidRPr="00D8231E">
        <w:rPr>
          <w:rFonts w:ascii="Times New Roman" w:hAnsi="Times New Roman" w:cs="Times New Roman"/>
          <w:sz w:val="24"/>
          <w:szCs w:val="24"/>
          <w:lang w:val="bg-BG"/>
        </w:rPr>
        <w:t>искания за предоставяне на електронна административна услуга</w:t>
      </w:r>
      <w:r w:rsidR="00657790" w:rsidRPr="00D8231E">
        <w:rPr>
          <w:rFonts w:ascii="Times New Roman" w:hAnsi="Times New Roman" w:cs="Times New Roman"/>
          <w:sz w:val="24"/>
          <w:szCs w:val="24"/>
          <w:lang w:val="bg-BG"/>
        </w:rPr>
        <w:t>, одобрен</w:t>
      </w:r>
      <w:r w:rsidR="00DB4DF2" w:rsidRPr="00D8231E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657790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от подуправителя на БНБ, ръководещ управление „Банково“</w:t>
      </w:r>
      <w:r w:rsidR="00443E59" w:rsidRPr="00D8231E">
        <w:rPr>
          <w:rFonts w:ascii="Times New Roman" w:hAnsi="Times New Roman" w:cs="Times New Roman"/>
          <w:sz w:val="24"/>
          <w:szCs w:val="24"/>
          <w:lang w:val="bg-BG"/>
        </w:rPr>
        <w:t>.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Данните от КЕП на лицето трябва автоматично да се визуализират в съответните полета на формата. </w:t>
      </w:r>
      <w:r w:rsidR="00D0728A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Екранната форма трябва задължително да изисква въвеждане на адрес </w:t>
      </w:r>
      <w:r w:rsidR="00234897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на електронна поща </w:t>
      </w:r>
      <w:r w:rsidR="00D0728A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за контакт. </w:t>
      </w:r>
      <w:r w:rsidR="003338C8" w:rsidRPr="00D8231E">
        <w:rPr>
          <w:rFonts w:ascii="Times New Roman" w:hAnsi="Times New Roman" w:cs="Times New Roman"/>
          <w:sz w:val="24"/>
          <w:szCs w:val="24"/>
          <w:lang w:val="bg-BG"/>
        </w:rPr>
        <w:t>Следва да се създадат списъци с необходимите съпровождащи документи, в съответствие с вида на искането. Т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ехните наименования трябва да се избират чрез полета от тип списък. </w:t>
      </w:r>
      <w:r w:rsidR="00970A5F" w:rsidRPr="00D8231E">
        <w:rPr>
          <w:rFonts w:ascii="Times New Roman" w:hAnsi="Times New Roman" w:cs="Times New Roman"/>
          <w:sz w:val="24"/>
          <w:szCs w:val="24"/>
          <w:lang w:val="bg-BG"/>
        </w:rPr>
        <w:t>Съпровождащите документи следва да бъдат в един от формати</w:t>
      </w:r>
      <w:r w:rsidR="00F657D3" w:rsidRPr="00D8231E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970A5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– </w:t>
      </w:r>
      <w:r w:rsidR="00970A5F" w:rsidRPr="00D8231E">
        <w:rPr>
          <w:rFonts w:ascii="Times New Roman" w:hAnsi="Times New Roman" w:cs="Times New Roman"/>
          <w:sz w:val="24"/>
          <w:szCs w:val="24"/>
        </w:rPr>
        <w:t>PDF, JPG</w:t>
      </w:r>
      <w:r w:rsidR="00970A5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0A5F" w:rsidRPr="00D8231E">
        <w:rPr>
          <w:rFonts w:ascii="Times New Roman" w:hAnsi="Times New Roman" w:cs="Times New Roman"/>
          <w:sz w:val="24"/>
          <w:szCs w:val="24"/>
        </w:rPr>
        <w:t>PNG</w:t>
      </w:r>
      <w:r w:rsidR="00970A5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970A5F" w:rsidRPr="00D8231E">
        <w:rPr>
          <w:rFonts w:ascii="Times New Roman" w:hAnsi="Times New Roman" w:cs="Times New Roman"/>
          <w:sz w:val="24"/>
          <w:szCs w:val="24"/>
        </w:rPr>
        <w:t>TIFF</w:t>
      </w:r>
      <w:r w:rsidR="00970A5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или </w:t>
      </w:r>
      <w:r w:rsidR="00970A5F" w:rsidRPr="00D8231E">
        <w:rPr>
          <w:rFonts w:ascii="Times New Roman" w:hAnsi="Times New Roman" w:cs="Times New Roman"/>
          <w:sz w:val="24"/>
          <w:szCs w:val="24"/>
        </w:rPr>
        <w:t>BMP</w:t>
      </w:r>
      <w:r w:rsidR="00970A5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0D7A0A" w:rsidRPr="00D8231E">
        <w:rPr>
          <w:rFonts w:ascii="Times New Roman" w:hAnsi="Times New Roman" w:cs="Times New Roman"/>
          <w:sz w:val="24"/>
          <w:szCs w:val="24"/>
          <w:lang w:val="bg-BG"/>
        </w:rPr>
        <w:t>В екранната форма трябва да има функционалност, с която лицето удостоверява истинността на попъл</w:t>
      </w:r>
      <w:r w:rsidR="00C71AD3" w:rsidRPr="00D8231E">
        <w:rPr>
          <w:rFonts w:ascii="Times New Roman" w:hAnsi="Times New Roman" w:cs="Times New Roman"/>
          <w:sz w:val="24"/>
          <w:szCs w:val="24"/>
          <w:lang w:val="bg-BG"/>
        </w:rPr>
        <w:t>не</w:t>
      </w:r>
      <w:r w:rsidR="000D7A0A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ните данни и съпровождащите документи, и по недвусмислен начин дава съгласието си личните му данни да бъдат обработвани. Попълненото </w:t>
      </w:r>
      <w:r w:rsidR="00125851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искане заедно с прикачените документи, се подписва с КЕП. </w:t>
      </w:r>
      <w:r w:rsidR="00970A5F" w:rsidRPr="00D8231E">
        <w:rPr>
          <w:rFonts w:ascii="Times New Roman" w:hAnsi="Times New Roman" w:cs="Times New Roman"/>
          <w:sz w:val="24"/>
          <w:szCs w:val="24"/>
          <w:lang w:val="bg-BG"/>
        </w:rPr>
        <w:t>На лицето се изпраща електронно съобщение на посочения от него адрес за контакт, че неговото искане и съпровождащите документи са приети за обработка.</w:t>
      </w:r>
    </w:p>
    <w:p w14:paraId="2AA8A981" w14:textId="0C72D977" w:rsidR="000B0427" w:rsidRPr="00D8231E" w:rsidRDefault="00EA5D4A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Подписаното искане </w:t>
      </w:r>
      <w:r w:rsidR="00D52E8A" w:rsidRPr="00D8231E">
        <w:rPr>
          <w:rFonts w:ascii="Times New Roman" w:hAnsi="Times New Roman" w:cs="Times New Roman"/>
          <w:sz w:val="24"/>
          <w:szCs w:val="24"/>
          <w:lang w:val="bg-BG"/>
        </w:rPr>
        <w:t>получ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ава</w:t>
      </w:r>
      <w:r w:rsidR="00D52E8A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F7A4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автоматично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уникален номер.</w:t>
      </w:r>
      <w:r w:rsidR="00AC5684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237B7283" w14:textId="77777777" w:rsidR="007322A3" w:rsidRPr="00D8231E" w:rsidRDefault="00EC5FD4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Екранната форма с и</w:t>
      </w:r>
      <w:r w:rsidR="007322A3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скането трябва да съдържа следната информация: </w:t>
      </w:r>
    </w:p>
    <w:p w14:paraId="51E4CB5A" w14:textId="2D0D576A" w:rsidR="007322A3" w:rsidRPr="00D8231E" w:rsidRDefault="00FC31D8" w:rsidP="002C141C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Именат</w:t>
      </w:r>
      <w:r w:rsidR="00EA5D4A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а на лицето, </w:t>
      </w:r>
      <w:r w:rsidR="00591F48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подаващо </w:t>
      </w:r>
      <w:r w:rsidR="00EA5D4A" w:rsidRPr="00D8231E">
        <w:rPr>
          <w:rFonts w:ascii="Times New Roman" w:hAnsi="Times New Roman" w:cs="Times New Roman"/>
          <w:sz w:val="24"/>
          <w:szCs w:val="24"/>
          <w:lang w:val="bg-BG"/>
        </w:rPr>
        <w:t>искането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515A2BA3" w14:textId="73DF4549" w:rsidR="00FC31D8" w:rsidRPr="00D8231E" w:rsidRDefault="00FC31D8" w:rsidP="002C141C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ЕГН на лицето, </w:t>
      </w:r>
      <w:r w:rsidR="00591F48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подаващо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искането (автоматично се попълва от КЕП);</w:t>
      </w:r>
    </w:p>
    <w:p w14:paraId="0B48F44B" w14:textId="5772022C" w:rsidR="00FC31D8" w:rsidRPr="00D8231E" w:rsidRDefault="00B32477" w:rsidP="002C141C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Електронен адрес</w:t>
      </w:r>
      <w:r w:rsidR="00FC31D8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за контакт с лицето, </w:t>
      </w:r>
      <w:r w:rsidR="00591F48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подаващо </w:t>
      </w:r>
      <w:r w:rsidR="00FC31D8" w:rsidRPr="00D8231E">
        <w:rPr>
          <w:rFonts w:ascii="Times New Roman" w:hAnsi="Times New Roman" w:cs="Times New Roman"/>
          <w:sz w:val="24"/>
          <w:szCs w:val="24"/>
          <w:lang w:val="bg-BG"/>
        </w:rPr>
        <w:t>искането;</w:t>
      </w:r>
    </w:p>
    <w:p w14:paraId="08D0A031" w14:textId="77777777" w:rsidR="007322A3" w:rsidRPr="00D8231E" w:rsidRDefault="00FC31D8" w:rsidP="002C141C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Имената на лицето, за което се иска информация;</w:t>
      </w:r>
    </w:p>
    <w:p w14:paraId="469E1B18" w14:textId="317218C6" w:rsidR="00FC31D8" w:rsidRPr="00D8231E" w:rsidRDefault="00FC31D8" w:rsidP="002C141C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ЕГН/ЛНЧ</w:t>
      </w:r>
      <w:r w:rsidR="00207249" w:rsidRPr="00D8231E">
        <w:rPr>
          <w:rFonts w:ascii="Times New Roman" w:hAnsi="Times New Roman" w:cs="Times New Roman"/>
          <w:sz w:val="24"/>
          <w:szCs w:val="24"/>
          <w:lang w:val="bg-BG"/>
        </w:rPr>
        <w:t>/ЛН</w:t>
      </w:r>
      <w:r w:rsidR="00B32477" w:rsidRPr="00D8231E">
        <w:rPr>
          <w:rFonts w:ascii="Times New Roman" w:hAnsi="Times New Roman" w:cs="Times New Roman"/>
          <w:sz w:val="24"/>
          <w:szCs w:val="24"/>
          <w:lang w:val="bg-BG"/>
        </w:rPr>
        <w:t>/ЕИК/БУЛСТАТ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на лицето, за което се иска информация</w:t>
      </w:r>
      <w:r w:rsidR="00B32477" w:rsidRPr="00D8231E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3A823066" w14:textId="77777777" w:rsidR="00FC31D8" w:rsidRPr="00D8231E" w:rsidRDefault="00FC31D8" w:rsidP="002C141C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lastRenderedPageBreak/>
        <w:t>Обхват на исканата информация (банкови сметки, банкови сейфове или банкови сметки и банкови сейфове);</w:t>
      </w:r>
    </w:p>
    <w:p w14:paraId="2F879A3D" w14:textId="2E0870DB" w:rsidR="00FC31D8" w:rsidRPr="00D8231E" w:rsidRDefault="00B32477" w:rsidP="002C141C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Срок за изпълнение </w:t>
      </w:r>
      <w:r w:rsidR="00FC31D8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услугата;</w:t>
      </w:r>
    </w:p>
    <w:p w14:paraId="07897CF7" w14:textId="14DE5F99" w:rsidR="00FC31D8" w:rsidRPr="00D8231E" w:rsidRDefault="00FC31D8" w:rsidP="002C141C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Списък на прилаганите документи</w:t>
      </w:r>
      <w:r w:rsidR="00EA5D4A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(ако са необходими)</w:t>
      </w:r>
      <w:r w:rsidR="002D2834" w:rsidRPr="00D8231E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408BB5F2" w14:textId="77777777" w:rsidR="002D2834" w:rsidRPr="00D8231E" w:rsidRDefault="002D2834" w:rsidP="002C141C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Начин на плащане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noBreakHyphen/>
        <w:t xml:space="preserve"> чрез банков превод или чрез виртуалния ПОС терминал на БНБ;</w:t>
      </w:r>
    </w:p>
    <w:p w14:paraId="4ACFDF31" w14:textId="77777777" w:rsidR="002D2834" w:rsidRPr="00D8231E" w:rsidRDefault="002D2834" w:rsidP="002C141C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Референтен номер на извършеното плащане;</w:t>
      </w:r>
    </w:p>
    <w:p w14:paraId="7D038602" w14:textId="499104DA" w:rsidR="00987620" w:rsidRPr="00D8231E" w:rsidRDefault="00987620" w:rsidP="002C141C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Опция за издаване на фактура;</w:t>
      </w:r>
    </w:p>
    <w:p w14:paraId="23B24700" w14:textId="4BD53314" w:rsidR="00FC31D8" w:rsidRPr="00D8231E" w:rsidRDefault="00B32477" w:rsidP="002C141C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Декларация</w:t>
      </w:r>
      <w:r w:rsidR="00FC31D8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CD3963" w:rsidRPr="00D8231E">
        <w:rPr>
          <w:rFonts w:ascii="Times New Roman" w:hAnsi="Times New Roman" w:cs="Times New Roman"/>
          <w:sz w:val="24"/>
          <w:szCs w:val="24"/>
          <w:lang w:val="bg-BG"/>
        </w:rPr>
        <w:t>истинността на сканираните документи, съпровождащи искането</w:t>
      </w:r>
      <w:r w:rsidR="00BF6B1B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и съгласие за обработка на личните данни</w:t>
      </w:r>
      <w:r w:rsidR="00EE2292" w:rsidRPr="00D8231E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5A9B72C" w14:textId="77777777" w:rsidR="00C64636" w:rsidRPr="00D8231E" w:rsidRDefault="00C64636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В услугата „Подаване на искане за информация от РБСС и съпровождащи документи“ трябва да се осигури проверка на всички постъпващи файлове в системата за наличие на зловреден софтуер в тях и при регистриране на проблем, да се предприемат съответните действия.</w:t>
      </w:r>
    </w:p>
    <w:p w14:paraId="400B8225" w14:textId="3164EACD" w:rsidR="00E45E7A" w:rsidRPr="00D8231E" w:rsidRDefault="00D0728A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РБСС трябва да поддържа „Регистър на електронните искания“ и в него да </w:t>
      </w:r>
      <w:r w:rsidR="00E45E7A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записва </w:t>
      </w:r>
      <w:r w:rsidR="003D0F14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постъпилата от искането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информация. </w:t>
      </w:r>
      <w:r w:rsidR="003D0F14" w:rsidRPr="00D8231E">
        <w:rPr>
          <w:rFonts w:ascii="Times New Roman" w:hAnsi="Times New Roman" w:cs="Times New Roman"/>
          <w:sz w:val="24"/>
          <w:szCs w:val="24"/>
          <w:lang w:val="bg-BG"/>
        </w:rPr>
        <w:t>Всяко искане трябва да е показано като ред от таблица и при избор на бутон в реда трябва да може да се покаже детайлната информация за искането</w:t>
      </w:r>
      <w:r w:rsidR="00F70C35">
        <w:rPr>
          <w:rFonts w:ascii="Times New Roman" w:hAnsi="Times New Roman" w:cs="Times New Roman"/>
          <w:sz w:val="24"/>
          <w:szCs w:val="24"/>
          <w:lang w:val="bg-BG"/>
        </w:rPr>
        <w:t>, както и съпровождащите го документи.</w:t>
      </w:r>
      <w:r w:rsidR="00A82234">
        <w:rPr>
          <w:rFonts w:ascii="Times New Roman" w:hAnsi="Times New Roman" w:cs="Times New Roman"/>
          <w:sz w:val="24"/>
          <w:szCs w:val="24"/>
          <w:lang w:val="bg-BG"/>
        </w:rPr>
        <w:t xml:space="preserve"> „Регистър</w:t>
      </w:r>
      <w:r w:rsidR="007322A3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на електронните искания</w:t>
      </w:r>
      <w:r w:rsidR="00A82234">
        <w:rPr>
          <w:rFonts w:ascii="Times New Roman" w:hAnsi="Times New Roman" w:cs="Times New Roman"/>
          <w:sz w:val="24"/>
          <w:szCs w:val="24"/>
          <w:lang w:val="bg-BG"/>
        </w:rPr>
        <w:t>“</w:t>
      </w:r>
      <w:r w:rsidR="007322A3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осигури филтриране на списъка с исканията по различни критерии</w:t>
      </w:r>
      <w:r w:rsidR="00E45E7A" w:rsidRPr="00D8231E">
        <w:rPr>
          <w:rFonts w:ascii="Times New Roman" w:hAnsi="Times New Roman" w:cs="Times New Roman"/>
          <w:sz w:val="24"/>
          <w:szCs w:val="24"/>
          <w:lang w:val="bg-BG"/>
        </w:rPr>
        <w:t>, например</w:t>
      </w:r>
      <w:r w:rsidR="00AC5684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45E7A" w:rsidRPr="00D8231E">
        <w:rPr>
          <w:rFonts w:ascii="Times New Roman" w:hAnsi="Times New Roman" w:cs="Times New Roman"/>
          <w:sz w:val="24"/>
          <w:szCs w:val="24"/>
          <w:lang w:val="bg-BG"/>
        </w:rPr>
        <w:t>–</w:t>
      </w:r>
      <w:r w:rsidR="00AC5684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45E7A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видове лица </w:t>
      </w:r>
      <w:r w:rsidR="00AC5684" w:rsidRPr="00D8231E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E45E7A" w:rsidRPr="00D8231E">
        <w:rPr>
          <w:rFonts w:ascii="Times New Roman" w:hAnsi="Times New Roman" w:cs="Times New Roman"/>
          <w:sz w:val="24"/>
          <w:szCs w:val="24"/>
          <w:lang w:val="bg-BG"/>
        </w:rPr>
        <w:t>ф</w:t>
      </w:r>
      <w:r w:rsidR="00AC5684" w:rsidRPr="00D8231E">
        <w:rPr>
          <w:rFonts w:ascii="Times New Roman" w:hAnsi="Times New Roman" w:cs="Times New Roman"/>
          <w:sz w:val="24"/>
          <w:szCs w:val="24"/>
          <w:lang w:val="bg-BG"/>
        </w:rPr>
        <w:t>изически, юридически)</w:t>
      </w:r>
      <w:r w:rsidR="00E45E7A" w:rsidRPr="00D8231E">
        <w:rPr>
          <w:rFonts w:ascii="Times New Roman" w:hAnsi="Times New Roman" w:cs="Times New Roman"/>
          <w:sz w:val="24"/>
          <w:szCs w:val="24"/>
          <w:lang w:val="bg-BG"/>
        </w:rPr>
        <w:t>, срок за изпълнение на услугата, статус на обработка, изпълнени искания за определен период, отказани искания и др.</w:t>
      </w:r>
    </w:p>
    <w:p w14:paraId="35589BDE" w14:textId="07909776" w:rsidR="00F855EB" w:rsidRPr="00D8231E" w:rsidRDefault="003D77AE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Експертите </w:t>
      </w:r>
      <w:r w:rsidR="00D0728A" w:rsidRPr="00D8231E">
        <w:rPr>
          <w:rFonts w:ascii="Times New Roman" w:hAnsi="Times New Roman" w:cs="Times New Roman"/>
          <w:sz w:val="24"/>
          <w:szCs w:val="24"/>
          <w:lang w:val="bg-BG"/>
        </w:rPr>
        <w:t>от дирекция „Регистри“ с</w:t>
      </w:r>
      <w:r w:rsidR="00A82234">
        <w:rPr>
          <w:rFonts w:ascii="Times New Roman" w:hAnsi="Times New Roman" w:cs="Times New Roman"/>
          <w:sz w:val="24"/>
          <w:szCs w:val="24"/>
          <w:lang w:val="bg-BG"/>
        </w:rPr>
        <w:t>ледят съдържанието на „Регистър</w:t>
      </w:r>
      <w:r w:rsidR="00D0728A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на електронните искания“ и </w:t>
      </w:r>
      <w:r w:rsidR="009243BD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проверяват набора от документи, съпровождащи искането. Ако подадените документи са непълни </w:t>
      </w:r>
      <w:r w:rsidR="00041FD7" w:rsidRPr="00D8231E">
        <w:rPr>
          <w:rFonts w:ascii="Times New Roman" w:hAnsi="Times New Roman" w:cs="Times New Roman"/>
          <w:sz w:val="24"/>
          <w:szCs w:val="24"/>
          <w:lang w:val="bg-BG"/>
        </w:rPr>
        <w:t>или некоректни</w:t>
      </w:r>
      <w:r w:rsidR="00391D20" w:rsidRPr="00D8231E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041FD7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се изпраща електронно съобщение до подателя, с което </w:t>
      </w:r>
      <w:r w:rsidR="00E22702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той </w:t>
      </w:r>
      <w:r w:rsidR="00041FD7" w:rsidRPr="00D8231E">
        <w:rPr>
          <w:rFonts w:ascii="Times New Roman" w:hAnsi="Times New Roman" w:cs="Times New Roman"/>
          <w:sz w:val="24"/>
          <w:szCs w:val="24"/>
          <w:lang w:val="bg-BG"/>
        </w:rPr>
        <w:t>се информира</w:t>
      </w:r>
      <w:r w:rsidR="00E22702" w:rsidRPr="00D8231E">
        <w:rPr>
          <w:rFonts w:ascii="Times New Roman" w:hAnsi="Times New Roman" w:cs="Times New Roman"/>
          <w:sz w:val="24"/>
          <w:szCs w:val="24"/>
          <w:lang w:val="bg-BG"/>
        </w:rPr>
        <w:t>, че може</w:t>
      </w:r>
      <w:r w:rsidR="00041FD7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22702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да провери </w:t>
      </w:r>
      <w:r w:rsidR="00391D20" w:rsidRPr="00D8231E">
        <w:rPr>
          <w:rFonts w:ascii="Times New Roman" w:hAnsi="Times New Roman" w:cs="Times New Roman"/>
          <w:sz w:val="24"/>
          <w:szCs w:val="24"/>
          <w:lang w:val="bg-BG"/>
        </w:rPr>
        <w:t>резултата от обработката на искането.</w:t>
      </w:r>
      <w:r w:rsidR="00E22702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Самият текст на резултата (в случая </w:t>
      </w:r>
      <w:r w:rsidR="00A90E6D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отговора </w:t>
      </w:r>
      <w:r w:rsidR="00E22702" w:rsidRPr="00D8231E">
        <w:rPr>
          <w:rFonts w:ascii="Times New Roman" w:hAnsi="Times New Roman" w:cs="Times New Roman"/>
          <w:sz w:val="24"/>
          <w:szCs w:val="24"/>
          <w:lang w:val="bg-BG"/>
        </w:rPr>
        <w:t>за липса</w:t>
      </w:r>
      <w:r w:rsidR="00F70C35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="00E22702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непълнота на документ</w:t>
      </w:r>
      <w:r w:rsidR="00F70C35">
        <w:rPr>
          <w:rFonts w:ascii="Times New Roman" w:hAnsi="Times New Roman" w:cs="Times New Roman"/>
          <w:sz w:val="24"/>
          <w:szCs w:val="24"/>
          <w:lang w:val="bg-BG"/>
        </w:rPr>
        <w:t>, липса на законово основание за предоставяне на информация или друга причина</w:t>
      </w:r>
      <w:r w:rsidR="00E22702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) е </w:t>
      </w:r>
      <w:r w:rsidR="00E22702" w:rsidRPr="00D8231E">
        <w:rPr>
          <w:rFonts w:ascii="Times New Roman" w:hAnsi="Times New Roman" w:cs="Times New Roman"/>
          <w:sz w:val="24"/>
          <w:szCs w:val="24"/>
        </w:rPr>
        <w:t>PDF</w:t>
      </w:r>
      <w:r w:rsidR="00E22702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файл, който се записва в системата и може да бъде изтеглен</w:t>
      </w:r>
      <w:r w:rsidR="00041FD7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. Постъпилите искания с коректни документи се </w:t>
      </w:r>
      <w:r w:rsidR="00D0728A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изпълняват </w:t>
      </w:r>
      <w:r w:rsidR="00393A91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в зависимост от </w:t>
      </w:r>
      <w:r w:rsidR="00391D20" w:rsidRPr="00D8231E">
        <w:rPr>
          <w:rFonts w:ascii="Times New Roman" w:hAnsi="Times New Roman" w:cs="Times New Roman"/>
          <w:sz w:val="24"/>
          <w:szCs w:val="24"/>
          <w:lang w:val="bg-BG"/>
        </w:rPr>
        <w:t>посочения срок</w:t>
      </w:r>
      <w:r w:rsidR="00393A91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041FD7" w:rsidRPr="00D8231E">
        <w:rPr>
          <w:rFonts w:ascii="Times New Roman" w:hAnsi="Times New Roman" w:cs="Times New Roman"/>
          <w:sz w:val="24"/>
          <w:szCs w:val="24"/>
          <w:lang w:val="bg-BG"/>
        </w:rPr>
        <w:t>За да се изпълни определено искане трябва пл</w:t>
      </w:r>
      <w:r w:rsidR="002D2834" w:rsidRPr="00D8231E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041FD7" w:rsidRPr="00D8231E">
        <w:rPr>
          <w:rFonts w:ascii="Times New Roman" w:hAnsi="Times New Roman" w:cs="Times New Roman"/>
          <w:sz w:val="24"/>
          <w:szCs w:val="24"/>
          <w:lang w:val="bg-BG"/>
        </w:rPr>
        <w:t>щ</w:t>
      </w:r>
      <w:r w:rsidR="002D2834" w:rsidRPr="00D8231E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041FD7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нето по него да е постъпило в БНБ. </w:t>
      </w:r>
      <w:r w:rsidR="002D2834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Плащането може да бъде извършено по два начина </w:t>
      </w:r>
      <w:r w:rsidR="002D2834" w:rsidRPr="00D8231E">
        <w:rPr>
          <w:rFonts w:ascii="Times New Roman" w:hAnsi="Times New Roman" w:cs="Times New Roman"/>
          <w:sz w:val="24"/>
          <w:szCs w:val="24"/>
          <w:lang w:val="bg-BG"/>
        </w:rPr>
        <w:noBreakHyphen/>
        <w:t xml:space="preserve"> чрез банков превод или чрез използване на виртуалния ПОС терминал, достъпен на интернет страницата на БНБ. За </w:t>
      </w:r>
      <w:r w:rsidR="00E22702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проверка на </w:t>
      </w:r>
      <w:r w:rsidR="00575973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плащане чрез </w:t>
      </w:r>
      <w:r w:rsidR="002D2834" w:rsidRPr="00D8231E">
        <w:rPr>
          <w:rFonts w:ascii="Times New Roman" w:hAnsi="Times New Roman" w:cs="Times New Roman"/>
          <w:sz w:val="24"/>
          <w:szCs w:val="24"/>
          <w:lang w:val="bg-BG"/>
        </w:rPr>
        <w:t>банков превод</w:t>
      </w:r>
      <w:r w:rsidR="00E22702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D2834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="00575973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създава процедура между </w:t>
      </w:r>
      <w:r w:rsidR="002D2834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дирекция „Главно счетоводство“ </w:t>
      </w:r>
      <w:r w:rsidR="00575973" w:rsidRPr="00D8231E">
        <w:rPr>
          <w:rFonts w:ascii="Times New Roman" w:hAnsi="Times New Roman" w:cs="Times New Roman"/>
          <w:sz w:val="24"/>
          <w:szCs w:val="24"/>
          <w:lang w:val="bg-BG"/>
        </w:rPr>
        <w:t>и дирекция „Регистри“</w:t>
      </w:r>
      <w:r w:rsidR="002D2834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, а плащането чрез виртуалния ПОС терминал се </w:t>
      </w:r>
      <w:r w:rsidR="00E22702" w:rsidRPr="00D8231E">
        <w:rPr>
          <w:rFonts w:ascii="Times New Roman" w:hAnsi="Times New Roman" w:cs="Times New Roman"/>
          <w:sz w:val="24"/>
          <w:szCs w:val="24"/>
          <w:lang w:val="bg-BG"/>
        </w:rPr>
        <w:t>проверява</w:t>
      </w:r>
      <w:r w:rsidR="00575973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D2834" w:rsidRPr="00D8231E">
        <w:rPr>
          <w:rFonts w:ascii="Times New Roman" w:hAnsi="Times New Roman" w:cs="Times New Roman"/>
          <w:sz w:val="24"/>
          <w:szCs w:val="24"/>
          <w:lang w:val="bg-BG"/>
        </w:rPr>
        <w:t>автоматично</w:t>
      </w:r>
      <w:r w:rsidR="00575973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22702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и се отразява </w:t>
      </w:r>
      <w:r w:rsidR="00575973" w:rsidRPr="00D8231E">
        <w:rPr>
          <w:rFonts w:ascii="Times New Roman" w:hAnsi="Times New Roman" w:cs="Times New Roman"/>
          <w:sz w:val="24"/>
          <w:szCs w:val="24"/>
          <w:lang w:val="bg-BG"/>
        </w:rPr>
        <w:t>в „Регистър на електронните искания“</w:t>
      </w:r>
      <w:r w:rsidR="002D2834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F855EB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След генериране на резултата в </w:t>
      </w:r>
      <w:r w:rsidR="00F855EB" w:rsidRPr="00D8231E">
        <w:rPr>
          <w:rFonts w:ascii="Times New Roman" w:hAnsi="Times New Roman" w:cs="Times New Roman"/>
          <w:sz w:val="24"/>
          <w:szCs w:val="24"/>
        </w:rPr>
        <w:t>PDF</w:t>
      </w:r>
      <w:r w:rsidR="00F855EB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855EB" w:rsidRPr="00D8231E">
        <w:rPr>
          <w:rFonts w:ascii="Times New Roman" w:hAnsi="Times New Roman" w:cs="Times New Roman"/>
          <w:sz w:val="24"/>
          <w:szCs w:val="24"/>
          <w:lang w:val="bg-BG"/>
        </w:rPr>
        <w:lastRenderedPageBreak/>
        <w:t>формат</w:t>
      </w:r>
      <w:r w:rsidR="00F70C35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F855EB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05AFB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експертите </w:t>
      </w:r>
      <w:r w:rsidR="00041FD7" w:rsidRPr="00D8231E">
        <w:rPr>
          <w:rFonts w:ascii="Times New Roman" w:hAnsi="Times New Roman" w:cs="Times New Roman"/>
          <w:sz w:val="24"/>
          <w:szCs w:val="24"/>
          <w:lang w:val="bg-BG"/>
        </w:rPr>
        <w:t>от дирекция „Регистри“</w:t>
      </w:r>
      <w:r w:rsidR="00F855EB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подпи</w:t>
      </w:r>
      <w:r w:rsidR="00041FD7" w:rsidRPr="00D8231E">
        <w:rPr>
          <w:rFonts w:ascii="Times New Roman" w:hAnsi="Times New Roman" w:cs="Times New Roman"/>
          <w:sz w:val="24"/>
          <w:szCs w:val="24"/>
          <w:lang w:val="bg-BG"/>
        </w:rPr>
        <w:t>св</w:t>
      </w:r>
      <w:r w:rsidR="00F855EB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ат готовия файл </w:t>
      </w:r>
      <w:r w:rsidR="00994B5E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и фактура </w:t>
      </w:r>
      <w:r w:rsidR="00FC5B51" w:rsidRPr="00D8231E">
        <w:rPr>
          <w:rFonts w:ascii="Times New Roman" w:hAnsi="Times New Roman" w:cs="Times New Roman"/>
          <w:sz w:val="24"/>
          <w:szCs w:val="24"/>
          <w:lang w:val="bg-BG"/>
        </w:rPr>
        <w:t>(</w:t>
      </w:r>
      <w:r w:rsidR="00994B5E" w:rsidRPr="00D8231E">
        <w:rPr>
          <w:rFonts w:ascii="Times New Roman" w:hAnsi="Times New Roman" w:cs="Times New Roman"/>
          <w:sz w:val="24"/>
          <w:szCs w:val="24"/>
          <w:lang w:val="bg-BG"/>
        </w:rPr>
        <w:t>при поискване</w:t>
      </w:r>
      <w:r w:rsidR="00FC5B51" w:rsidRPr="00D8231E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994B5E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F855EB" w:rsidRPr="00D8231E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341057" w:rsidRPr="00D8231E">
        <w:rPr>
          <w:rFonts w:ascii="Times New Roman" w:hAnsi="Times New Roman" w:cs="Times New Roman"/>
          <w:sz w:val="24"/>
          <w:szCs w:val="24"/>
          <w:lang w:val="bg-BG"/>
        </w:rPr>
        <w:t>ъс</w:t>
      </w:r>
      <w:r w:rsidR="00F855EB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22702" w:rsidRPr="00D8231E">
        <w:rPr>
          <w:rFonts w:ascii="Times New Roman" w:hAnsi="Times New Roman" w:cs="Times New Roman"/>
          <w:sz w:val="24"/>
          <w:szCs w:val="24"/>
          <w:lang w:val="bg-BG"/>
        </w:rPr>
        <w:t>своя код</w:t>
      </w:r>
      <w:r w:rsidR="00F855EB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и активират електронно съобщение до </w:t>
      </w:r>
      <w:r w:rsidR="00EC5FD4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подателя на </w:t>
      </w:r>
      <w:r w:rsidR="00F855EB" w:rsidRPr="00D8231E">
        <w:rPr>
          <w:rFonts w:ascii="Times New Roman" w:hAnsi="Times New Roman" w:cs="Times New Roman"/>
          <w:sz w:val="24"/>
          <w:szCs w:val="24"/>
          <w:lang w:val="bg-BG"/>
        </w:rPr>
        <w:t>иска</w:t>
      </w:r>
      <w:r w:rsidR="00EC5FD4" w:rsidRPr="00D8231E">
        <w:rPr>
          <w:rFonts w:ascii="Times New Roman" w:hAnsi="Times New Roman" w:cs="Times New Roman"/>
          <w:sz w:val="24"/>
          <w:szCs w:val="24"/>
          <w:lang w:val="bg-BG"/>
        </w:rPr>
        <w:t>нето</w:t>
      </w:r>
      <w:r w:rsidR="00341057" w:rsidRPr="00D8231E">
        <w:rPr>
          <w:rFonts w:ascii="Times New Roman" w:hAnsi="Times New Roman" w:cs="Times New Roman"/>
          <w:sz w:val="24"/>
          <w:szCs w:val="24"/>
          <w:lang w:val="bg-BG"/>
        </w:rPr>
        <w:t>, с което го уведомяват</w:t>
      </w:r>
      <w:r w:rsidR="00E22702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75973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за </w:t>
      </w:r>
      <w:r w:rsidR="00341057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готовия </w:t>
      </w:r>
      <w:r w:rsidR="00575973" w:rsidRPr="00D8231E">
        <w:rPr>
          <w:rFonts w:ascii="Times New Roman" w:hAnsi="Times New Roman" w:cs="Times New Roman"/>
          <w:sz w:val="24"/>
          <w:szCs w:val="24"/>
          <w:lang w:val="bg-BG"/>
        </w:rPr>
        <w:t>резултат.</w:t>
      </w:r>
      <w:r w:rsidR="00575973" w:rsidRPr="00D8231E" w:rsidDel="00575973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75973" w:rsidRPr="00D8231E">
        <w:rPr>
          <w:rFonts w:ascii="Times New Roman" w:hAnsi="Times New Roman" w:cs="Times New Roman"/>
          <w:sz w:val="24"/>
          <w:szCs w:val="24"/>
          <w:lang w:val="bg-BG"/>
        </w:rPr>
        <w:t>Заявителят на електронната услуга</w:t>
      </w:r>
      <w:r w:rsidR="00F855EB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може да получи резултата чрез услуга</w:t>
      </w:r>
      <w:r w:rsidR="00FC5B51" w:rsidRPr="00D8231E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F855EB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„Изтегляне на резултата от изпълнено искане“. </w:t>
      </w:r>
      <w:r w:rsidR="009200E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За целта той трябва да въведе </w:t>
      </w:r>
      <w:r w:rsidR="00575973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уникалния </w:t>
      </w:r>
      <w:r w:rsidR="009200EF" w:rsidRPr="00D8231E">
        <w:rPr>
          <w:rFonts w:ascii="Times New Roman" w:hAnsi="Times New Roman" w:cs="Times New Roman"/>
          <w:sz w:val="24"/>
          <w:szCs w:val="24"/>
          <w:lang w:val="bg-BG"/>
        </w:rPr>
        <w:t>номер на искането, получен в услугата „</w:t>
      </w:r>
      <w:r w:rsidR="00994B5E" w:rsidRPr="00D8231E">
        <w:rPr>
          <w:rFonts w:ascii="Times New Roman" w:hAnsi="Times New Roman" w:cs="Times New Roman"/>
          <w:sz w:val="24"/>
          <w:szCs w:val="24"/>
          <w:lang w:val="bg-BG"/>
        </w:rPr>
        <w:t>Подаване на искане за информация от РБСС и съпровождащи документи</w:t>
      </w:r>
      <w:r w:rsidR="009200E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“. </w:t>
      </w:r>
      <w:r w:rsidR="002D2834" w:rsidRPr="00D8231E">
        <w:rPr>
          <w:rFonts w:ascii="Times New Roman" w:hAnsi="Times New Roman" w:cs="Times New Roman"/>
          <w:sz w:val="24"/>
          <w:szCs w:val="24"/>
          <w:lang w:val="bg-BG"/>
        </w:rPr>
        <w:t>Когато лицето изтегли резултат</w:t>
      </w:r>
      <w:r w:rsidR="00575973" w:rsidRPr="00D8231E">
        <w:rPr>
          <w:rFonts w:ascii="Times New Roman" w:hAnsi="Times New Roman" w:cs="Times New Roman"/>
          <w:sz w:val="24"/>
          <w:szCs w:val="24"/>
          <w:lang w:val="bg-BG"/>
        </w:rPr>
        <w:t>а от обработката на искането</w:t>
      </w:r>
      <w:r w:rsidR="00341057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(</w:t>
      </w:r>
      <w:r w:rsidR="00341057" w:rsidRPr="00D8231E">
        <w:rPr>
          <w:rFonts w:ascii="Times New Roman" w:hAnsi="Times New Roman" w:cs="Times New Roman"/>
          <w:sz w:val="24"/>
          <w:szCs w:val="24"/>
        </w:rPr>
        <w:t>PDF</w:t>
      </w:r>
      <w:r w:rsidR="00341057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файл)</w:t>
      </w:r>
      <w:r w:rsidR="00575973" w:rsidRPr="00D8231E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2D2834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75973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в </w:t>
      </w:r>
      <w:r w:rsidR="00F855EB" w:rsidRPr="00D8231E">
        <w:rPr>
          <w:rFonts w:ascii="Times New Roman" w:hAnsi="Times New Roman" w:cs="Times New Roman"/>
          <w:sz w:val="24"/>
          <w:szCs w:val="24"/>
          <w:lang w:val="bg-BG"/>
        </w:rPr>
        <w:t>системата трябва да се зап</w:t>
      </w:r>
      <w:r w:rsidR="002D2834" w:rsidRPr="00D8231E">
        <w:rPr>
          <w:rFonts w:ascii="Times New Roman" w:hAnsi="Times New Roman" w:cs="Times New Roman"/>
          <w:sz w:val="24"/>
          <w:szCs w:val="24"/>
          <w:lang w:val="bg-BG"/>
        </w:rPr>
        <w:t>ише</w:t>
      </w:r>
      <w:r w:rsidR="00F855EB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информация за </w:t>
      </w:r>
      <w:r w:rsidR="00D3354B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времето на </w:t>
      </w:r>
      <w:r w:rsidR="00F86632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изтегляне на </w:t>
      </w:r>
      <w:r w:rsidR="00341057" w:rsidRPr="00D8231E">
        <w:rPr>
          <w:rFonts w:ascii="Times New Roman" w:hAnsi="Times New Roman" w:cs="Times New Roman"/>
          <w:sz w:val="24"/>
          <w:szCs w:val="24"/>
          <w:lang w:val="bg-BG"/>
        </w:rPr>
        <w:t>файла</w:t>
      </w:r>
      <w:r w:rsidR="00D3354B" w:rsidRPr="00D8231E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7322A3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41057" w:rsidRPr="00D8231E">
        <w:rPr>
          <w:rFonts w:ascii="Times New Roman" w:hAnsi="Times New Roman" w:cs="Times New Roman"/>
          <w:sz w:val="24"/>
          <w:szCs w:val="24"/>
          <w:lang w:val="bg-BG"/>
        </w:rPr>
        <w:t>Изтеглените резултати трябва да бъдат изтрити от системата след определено време, дефинирано като системен параметър</w:t>
      </w:r>
      <w:r w:rsidR="00F31EA0" w:rsidRPr="00D8231E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7322A3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2360531D" w14:textId="2A1E77D9" w:rsidR="002D2834" w:rsidRPr="00D8231E" w:rsidRDefault="002D2834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Услугата „Проверка на статус на </w:t>
      </w:r>
      <w:r w:rsidR="00390085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обработка на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искане“ позволява на подателя на искането да провери в какво състояние се намира </w:t>
      </w:r>
      <w:r w:rsidR="009200E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то. Статусът на </w:t>
      </w:r>
      <w:r w:rsidR="00657790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обработка на искането </w:t>
      </w:r>
      <w:r w:rsidR="009200EF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се визуализира след въвеждане на </w:t>
      </w:r>
      <w:r w:rsidR="00F31EA0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уникалния </w:t>
      </w:r>
      <w:r w:rsidR="009200EF" w:rsidRPr="00D8231E">
        <w:rPr>
          <w:rFonts w:ascii="Times New Roman" w:hAnsi="Times New Roman" w:cs="Times New Roman"/>
          <w:sz w:val="24"/>
          <w:szCs w:val="24"/>
          <w:lang w:val="bg-BG"/>
        </w:rPr>
        <w:t>номер, получен в услугата „</w:t>
      </w:r>
      <w:r w:rsidR="001C71FE" w:rsidRPr="00D8231E">
        <w:rPr>
          <w:rFonts w:ascii="Times New Roman" w:hAnsi="Times New Roman" w:cs="Times New Roman"/>
          <w:sz w:val="24"/>
          <w:szCs w:val="24"/>
          <w:lang w:val="bg-BG"/>
        </w:rPr>
        <w:t>Подаване на искане за информация от РБСС и съпровождащи документи</w:t>
      </w:r>
      <w:r w:rsidR="009200EF" w:rsidRPr="00D8231E">
        <w:rPr>
          <w:rFonts w:ascii="Times New Roman" w:hAnsi="Times New Roman" w:cs="Times New Roman"/>
          <w:sz w:val="24"/>
          <w:szCs w:val="24"/>
          <w:lang w:val="bg-BG"/>
        </w:rPr>
        <w:t>“.</w:t>
      </w:r>
    </w:p>
    <w:p w14:paraId="355B1649" w14:textId="2ABF9092" w:rsidR="00474D15" w:rsidRPr="00D8231E" w:rsidRDefault="001C71FE" w:rsidP="002C141C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В с</w:t>
      </w:r>
      <w:r w:rsidR="00AB0AA4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истемата трябва да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се разработят </w:t>
      </w:r>
      <w:r w:rsidR="00474D15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нови справки</w:t>
      </w:r>
      <w:r w:rsidR="00474D15" w:rsidRPr="00D8231E" w:rsidDel="00474D1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74D15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относно предоставяните </w:t>
      </w:r>
      <w:r w:rsidR="00AB0AA4" w:rsidRPr="00D8231E">
        <w:rPr>
          <w:rFonts w:ascii="Times New Roman" w:hAnsi="Times New Roman" w:cs="Times New Roman"/>
          <w:sz w:val="24"/>
          <w:szCs w:val="24"/>
          <w:lang w:val="bg-BG"/>
        </w:rPr>
        <w:t>електронни</w:t>
      </w:r>
      <w:r w:rsidR="00341057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0AA4" w:rsidRPr="00D8231E">
        <w:rPr>
          <w:rFonts w:ascii="Times New Roman" w:hAnsi="Times New Roman" w:cs="Times New Roman"/>
          <w:sz w:val="24"/>
          <w:szCs w:val="24"/>
          <w:lang w:val="bg-BG"/>
        </w:rPr>
        <w:t>услуги</w:t>
      </w:r>
      <w:r w:rsidR="00474D15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, например </w:t>
      </w:r>
      <w:r w:rsidR="00AB0AA4" w:rsidRPr="00D8231E">
        <w:rPr>
          <w:rFonts w:ascii="Times New Roman" w:hAnsi="Times New Roman" w:cs="Times New Roman"/>
          <w:sz w:val="24"/>
          <w:szCs w:val="24"/>
          <w:lang w:val="bg-BG"/>
        </w:rPr>
        <w:t>бр</w:t>
      </w:r>
      <w:r w:rsidR="00341057" w:rsidRPr="00D8231E">
        <w:rPr>
          <w:rFonts w:ascii="Times New Roman" w:hAnsi="Times New Roman" w:cs="Times New Roman"/>
          <w:sz w:val="24"/>
          <w:szCs w:val="24"/>
          <w:lang w:val="bg-BG"/>
        </w:rPr>
        <w:t>ой електронни искания за период, видове лица (</w:t>
      </w:r>
      <w:r w:rsidR="00474D15" w:rsidRPr="00D8231E">
        <w:rPr>
          <w:rFonts w:ascii="Times New Roman" w:hAnsi="Times New Roman" w:cs="Times New Roman"/>
          <w:sz w:val="24"/>
          <w:szCs w:val="24"/>
          <w:lang w:val="bg-BG"/>
        </w:rPr>
        <w:t>физически, юридически</w:t>
      </w:r>
      <w:r w:rsidR="00341057" w:rsidRPr="00D8231E">
        <w:rPr>
          <w:rFonts w:ascii="Times New Roman" w:hAnsi="Times New Roman" w:cs="Times New Roman"/>
          <w:sz w:val="24"/>
          <w:szCs w:val="24"/>
          <w:lang w:val="bg-BG"/>
        </w:rPr>
        <w:t>)</w:t>
      </w:r>
      <w:r w:rsidR="00474D15" w:rsidRPr="00D8231E">
        <w:rPr>
          <w:rFonts w:ascii="Times New Roman" w:hAnsi="Times New Roman" w:cs="Times New Roman"/>
          <w:sz w:val="24"/>
          <w:szCs w:val="24"/>
          <w:lang w:val="bg-BG"/>
        </w:rPr>
        <w:t>, срок за изпълнение на услугата, статус на обработка, изпълнени искания за определен период, отказани искания и др.</w:t>
      </w:r>
    </w:p>
    <w:p w14:paraId="6EF65D29" w14:textId="72640E35" w:rsidR="00BF2EC0" w:rsidRPr="00C26EE7" w:rsidRDefault="00BF2EC0" w:rsidP="002C141C">
      <w:pPr>
        <w:pStyle w:val="ListParagraph"/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C26EE7">
        <w:rPr>
          <w:rFonts w:ascii="Times New Roman" w:hAnsi="Times New Roman" w:cs="Times New Roman"/>
          <w:b/>
          <w:i/>
          <w:sz w:val="24"/>
          <w:szCs w:val="24"/>
          <w:lang w:val="bg-BG"/>
        </w:rPr>
        <w:t>Срокът за реализация (проектиране,</w:t>
      </w:r>
      <w:r w:rsidR="0034695F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разработване,</w:t>
      </w:r>
      <w:r w:rsidRPr="00C26EE7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тестване и внедряване в реална експлоатация) на функционалността по т.</w:t>
      </w:r>
      <w:r w:rsidR="001C71FE" w:rsidRPr="00C26EE7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proofErr w:type="gramStart"/>
      <w:r w:rsidRPr="00C26EE7">
        <w:rPr>
          <w:rFonts w:ascii="Times New Roman" w:hAnsi="Times New Roman" w:cs="Times New Roman"/>
          <w:b/>
          <w:i/>
          <w:sz w:val="24"/>
          <w:szCs w:val="24"/>
        </w:rPr>
        <w:t xml:space="preserve">II </w:t>
      </w:r>
      <w:r w:rsidRPr="00C26EE7">
        <w:rPr>
          <w:rFonts w:ascii="Times New Roman" w:hAnsi="Times New Roman" w:cs="Times New Roman"/>
          <w:b/>
          <w:i/>
          <w:sz w:val="24"/>
          <w:szCs w:val="24"/>
          <w:lang w:val="bg-BG"/>
        </w:rPr>
        <w:t>е 31.</w:t>
      </w:r>
      <w:r w:rsidRPr="00C26EE7">
        <w:rPr>
          <w:rFonts w:ascii="Times New Roman" w:hAnsi="Times New Roman" w:cs="Times New Roman"/>
          <w:b/>
          <w:i/>
          <w:sz w:val="24"/>
          <w:szCs w:val="24"/>
        </w:rPr>
        <w:t>12</w:t>
      </w:r>
      <w:r w:rsidRPr="00C26EE7">
        <w:rPr>
          <w:rFonts w:ascii="Times New Roman" w:hAnsi="Times New Roman" w:cs="Times New Roman"/>
          <w:b/>
          <w:i/>
          <w:sz w:val="24"/>
          <w:szCs w:val="24"/>
          <w:lang w:val="bg-BG"/>
        </w:rPr>
        <w:t>.201</w:t>
      </w:r>
      <w:r w:rsidRPr="00C26EE7">
        <w:rPr>
          <w:rFonts w:ascii="Times New Roman" w:hAnsi="Times New Roman" w:cs="Times New Roman"/>
          <w:b/>
          <w:i/>
          <w:sz w:val="24"/>
          <w:szCs w:val="24"/>
        </w:rPr>
        <w:t>8</w:t>
      </w:r>
      <w:r w:rsidRPr="00C26EE7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г.</w:t>
      </w:r>
      <w:proofErr w:type="gramEnd"/>
    </w:p>
    <w:p w14:paraId="157EEEC0" w14:textId="62D3A7B1" w:rsidR="00BF2EC0" w:rsidRPr="00D8231E" w:rsidRDefault="00BF2EC0" w:rsidP="002C141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DD13381" w14:textId="5D187F33" w:rsidR="004E0E3E" w:rsidRPr="00C26EE7" w:rsidRDefault="004E0E3E" w:rsidP="00C26EE7">
      <w:pPr>
        <w:pStyle w:val="Heading1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bookmarkStart w:id="7" w:name="_Toc511811680"/>
      <w:r w:rsidRPr="00C26EE7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Доработки, свързани с привеждане на РБСС</w:t>
      </w:r>
      <w:r w:rsidR="002C141C" w:rsidRPr="00C26EE7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Pr="00C26EE7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в съответствие с Регламент (ЕС) 2016/679 на Европейския парламент</w:t>
      </w:r>
      <w:r w:rsidR="002C141C" w:rsidRPr="00C26EE7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Pr="00C26EE7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и на Съвета от 27 април 2016 година относно защитата</w:t>
      </w:r>
      <w:r w:rsidR="002C141C" w:rsidRPr="00C26EE7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Pr="00C26EE7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на физическите лица във връзка с обработването на лични данни</w:t>
      </w:r>
      <w:r w:rsidR="002C141C" w:rsidRPr="00C26EE7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Pr="00C26EE7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и относно свободното движение на такива данни</w:t>
      </w:r>
      <w:bookmarkEnd w:id="7"/>
    </w:p>
    <w:p w14:paraId="6D4C41DB" w14:textId="667AF441" w:rsidR="00C411E5" w:rsidRPr="00D8231E" w:rsidRDefault="00EC1027" w:rsidP="002C141C">
      <w:pPr>
        <w:pStyle w:val="ListParagraph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Да се направи детайлен анализ на начина на съхранение и използване на информацията в Регистъра на банковите сметки и </w:t>
      </w:r>
      <w:r w:rsidR="00C411E5" w:rsidRPr="00D8231E">
        <w:rPr>
          <w:rFonts w:ascii="Times New Roman" w:hAnsi="Times New Roman" w:cs="Times New Roman"/>
          <w:sz w:val="24"/>
          <w:szCs w:val="24"/>
          <w:lang w:val="bg-BG"/>
        </w:rPr>
        <w:t>сейфове и да се изготви оценка за съответствие с Регламент (ЕС) 2016/679. Ако изготвената оценка показва несъответствия с този регламент, да се изпълнят необходимите доработки за привеждане на системата в съответствие с изискванията му.</w:t>
      </w:r>
    </w:p>
    <w:p w14:paraId="21876BD7" w14:textId="77777777" w:rsidR="00C411E5" w:rsidRPr="00D8231E" w:rsidRDefault="00C411E5" w:rsidP="002C141C">
      <w:pPr>
        <w:pStyle w:val="ListParagraph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Личните данни е необходимо да бъдат обработвани по начин, който гарантира подходящо ниво на тяхната сигурност, включително защита срещу неразрешено или незаконосъобразно обработване и срещу случайна загуба, унищожаване или повреждане, като се прилагат подходящи технологични и/или организационни мерки („цялостност и поверителност“).</w:t>
      </w:r>
    </w:p>
    <w:p w14:paraId="4BB3593E" w14:textId="281C2F12" w:rsidR="00C411E5" w:rsidRPr="00D8231E" w:rsidRDefault="00081821" w:rsidP="002C141C">
      <w:pPr>
        <w:pStyle w:val="ListParagraph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В Регистъра на банковите сметки и сейфове да </w:t>
      </w:r>
      <w:r w:rsidR="00C411E5" w:rsidRPr="00D8231E">
        <w:rPr>
          <w:rFonts w:ascii="Times New Roman" w:hAnsi="Times New Roman" w:cs="Times New Roman"/>
          <w:sz w:val="24"/>
          <w:szCs w:val="24"/>
          <w:lang w:val="bg-BG"/>
        </w:rPr>
        <w:t>се създад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ат</w:t>
      </w:r>
      <w:r w:rsidR="00C411E5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и приложат</w:t>
      </w:r>
      <w:r w:rsidR="00C411E5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технологични и организационни мерки </w:t>
      </w:r>
      <w:r w:rsidR="00C411E5" w:rsidRPr="00D8231E">
        <w:rPr>
          <w:rFonts w:ascii="Times New Roman" w:hAnsi="Times New Roman" w:cs="Times New Roman"/>
          <w:sz w:val="24"/>
          <w:szCs w:val="24"/>
          <w:lang w:val="bg-BG"/>
        </w:rPr>
        <w:t>за защита на данните в процеса на тяхното събиране, съхранение, обработка и предоставяне</w:t>
      </w:r>
      <w:r w:rsidR="003A18BA" w:rsidRPr="00D8231E">
        <w:rPr>
          <w:rFonts w:ascii="Times New Roman" w:hAnsi="Times New Roman" w:cs="Times New Roman"/>
          <w:sz w:val="24"/>
          <w:szCs w:val="24"/>
          <w:lang w:val="bg-BG"/>
        </w:rPr>
        <w:t>, както следва</w:t>
      </w:r>
      <w:r w:rsidR="00C411E5" w:rsidRPr="00D8231E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3A738580" w14:textId="77777777" w:rsidR="00C411E5" w:rsidRPr="00D8231E" w:rsidRDefault="00C411E5" w:rsidP="002C141C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Канали и технически средства, чрез които ще се извършва преноса на данните;</w:t>
      </w:r>
    </w:p>
    <w:p w14:paraId="7CD56181" w14:textId="77777777" w:rsidR="00C411E5" w:rsidRPr="00D8231E" w:rsidRDefault="00C411E5" w:rsidP="002C141C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Регламентиране на обхвата на предоставяните услуги от регистъра;</w:t>
      </w:r>
    </w:p>
    <w:p w14:paraId="210A822F" w14:textId="5C469350" w:rsidR="00C411E5" w:rsidRPr="00D8231E" w:rsidRDefault="00C411E5" w:rsidP="002C141C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Регламентиране формата на данните за предоставяне на услугите;</w:t>
      </w:r>
    </w:p>
    <w:p w14:paraId="2B310357" w14:textId="2606AFDA" w:rsidR="00C411E5" w:rsidRPr="00D8231E" w:rsidRDefault="00081821" w:rsidP="002C141C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C411E5" w:rsidRPr="00D8231E">
        <w:rPr>
          <w:rFonts w:ascii="Times New Roman" w:hAnsi="Times New Roman" w:cs="Times New Roman"/>
          <w:sz w:val="24"/>
          <w:szCs w:val="24"/>
          <w:lang w:val="bg-BG"/>
        </w:rPr>
        <w:t>съществ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яване на</w:t>
      </w:r>
      <w:r w:rsidR="00C411E5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електронна идентификация на лицата на базата създаваните регистри от Държавна агенция за електронно управление, с цел осигуряване на точност на данните;</w:t>
      </w:r>
    </w:p>
    <w:p w14:paraId="1259F846" w14:textId="3B8E6EBE" w:rsidR="00C411E5" w:rsidRPr="00D8231E" w:rsidRDefault="00081821" w:rsidP="002C141C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="00C411E5" w:rsidRPr="00D8231E">
        <w:rPr>
          <w:rFonts w:ascii="Times New Roman" w:hAnsi="Times New Roman" w:cs="Times New Roman"/>
          <w:sz w:val="24"/>
          <w:szCs w:val="24"/>
          <w:lang w:val="bg-BG"/>
        </w:rPr>
        <w:t>ъзда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>ване</w:t>
      </w:r>
      <w:r w:rsidR="00C411E5"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8231E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C411E5" w:rsidRPr="00D8231E">
        <w:rPr>
          <w:rFonts w:ascii="Times New Roman" w:hAnsi="Times New Roman" w:cs="Times New Roman"/>
          <w:sz w:val="24"/>
          <w:szCs w:val="24"/>
          <w:lang w:val="bg-BG"/>
        </w:rPr>
        <w:t>процедура за съхранение и архивиране на постъпващите от електронните услуги документи;</w:t>
      </w:r>
    </w:p>
    <w:p w14:paraId="20965CD7" w14:textId="623B52FA" w:rsidR="00C411E5" w:rsidRPr="00D8231E" w:rsidRDefault="00C411E5" w:rsidP="002C141C">
      <w:pPr>
        <w:pStyle w:val="ListParagraph"/>
        <w:numPr>
          <w:ilvl w:val="0"/>
          <w:numId w:val="9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8231E">
        <w:rPr>
          <w:rFonts w:ascii="Times New Roman" w:hAnsi="Times New Roman" w:cs="Times New Roman"/>
          <w:sz w:val="24"/>
          <w:szCs w:val="24"/>
          <w:lang w:val="bg-BG"/>
        </w:rPr>
        <w:t>Дефиниране на роли и права относно преки отговорности на обработващите данните</w:t>
      </w:r>
      <w:r w:rsidR="0050074A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85B4A6D" w14:textId="2765D544" w:rsidR="00BF2EC0" w:rsidRPr="00D85DFD" w:rsidRDefault="00BF2EC0" w:rsidP="002C141C">
      <w:pPr>
        <w:pStyle w:val="ListParagraph"/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D85DFD">
        <w:rPr>
          <w:rFonts w:ascii="Times New Roman" w:hAnsi="Times New Roman" w:cs="Times New Roman"/>
          <w:b/>
          <w:i/>
          <w:sz w:val="24"/>
          <w:szCs w:val="24"/>
          <w:lang w:val="bg-BG"/>
        </w:rPr>
        <w:t>Срокът за реализация (проектиране,</w:t>
      </w:r>
      <w:r w:rsidR="00760D40" w:rsidRPr="00D85DF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разработване,</w:t>
      </w:r>
      <w:r w:rsidRPr="00D85DF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те</w:t>
      </w:r>
      <w:r w:rsidR="0043084E" w:rsidRPr="00D85DFD">
        <w:rPr>
          <w:rFonts w:ascii="Times New Roman" w:hAnsi="Times New Roman" w:cs="Times New Roman"/>
          <w:b/>
          <w:i/>
          <w:sz w:val="24"/>
          <w:szCs w:val="24"/>
          <w:lang w:val="bg-BG"/>
        </w:rPr>
        <w:t>ст</w:t>
      </w:r>
      <w:r w:rsidRPr="00D85DFD">
        <w:rPr>
          <w:rFonts w:ascii="Times New Roman" w:hAnsi="Times New Roman" w:cs="Times New Roman"/>
          <w:b/>
          <w:i/>
          <w:sz w:val="24"/>
          <w:szCs w:val="24"/>
          <w:lang w:val="bg-BG"/>
        </w:rPr>
        <w:t>ване и внедряване в реална експлоатация) на функционалността по т.</w:t>
      </w:r>
      <w:r w:rsidR="0043084E" w:rsidRPr="00D85DF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Pr="00D85DFD">
        <w:rPr>
          <w:rFonts w:ascii="Times New Roman" w:hAnsi="Times New Roman" w:cs="Times New Roman"/>
          <w:b/>
          <w:i/>
          <w:sz w:val="24"/>
          <w:szCs w:val="24"/>
          <w:lang w:val="bg-BG"/>
        </w:rPr>
        <w:t>III е 3</w:t>
      </w:r>
      <w:r w:rsidR="00DF4958" w:rsidRPr="00D85DFD">
        <w:rPr>
          <w:rFonts w:ascii="Times New Roman" w:hAnsi="Times New Roman" w:cs="Times New Roman"/>
          <w:b/>
          <w:i/>
          <w:sz w:val="24"/>
          <w:szCs w:val="24"/>
          <w:lang w:val="bg-BG"/>
        </w:rPr>
        <w:t>0</w:t>
      </w:r>
      <w:r w:rsidRPr="00D85DFD">
        <w:rPr>
          <w:rFonts w:ascii="Times New Roman" w:hAnsi="Times New Roman" w:cs="Times New Roman"/>
          <w:b/>
          <w:i/>
          <w:sz w:val="24"/>
          <w:szCs w:val="24"/>
          <w:lang w:val="bg-BG"/>
        </w:rPr>
        <w:t>.</w:t>
      </w:r>
      <w:r w:rsidR="00DF4958" w:rsidRPr="00D85DFD">
        <w:rPr>
          <w:rFonts w:ascii="Times New Roman" w:hAnsi="Times New Roman" w:cs="Times New Roman"/>
          <w:b/>
          <w:i/>
          <w:sz w:val="24"/>
          <w:szCs w:val="24"/>
          <w:lang w:val="bg-BG"/>
        </w:rPr>
        <w:t>04.2019</w:t>
      </w:r>
      <w:r w:rsidRPr="00D85DFD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г.</w:t>
      </w:r>
    </w:p>
    <w:p w14:paraId="09631EBD" w14:textId="77777777" w:rsidR="004E0E3E" w:rsidRPr="001F6EA3" w:rsidRDefault="004E0E3E" w:rsidP="002C141C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1904D3D3" w14:textId="77777777" w:rsidR="00D85DFD" w:rsidRPr="00D85DFD" w:rsidRDefault="00354DDF" w:rsidP="00D85DFD">
      <w:pPr>
        <w:pStyle w:val="Heading1"/>
        <w:numPr>
          <w:ilvl w:val="0"/>
          <w:numId w:val="11"/>
        </w:numPr>
        <w:ind w:left="0" w:firstLine="360"/>
        <w:jc w:val="both"/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</w:pPr>
      <w:bookmarkStart w:id="8" w:name="_Toc511811681"/>
      <w:r w:rsidRPr="00D85DFD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Доработки, свързани със спазване на срока на съхранение</w:t>
      </w:r>
      <w:r w:rsidR="002C141C" w:rsidRPr="00D85DFD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Pr="00D85DFD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на данните в РБСС, съгласно</w:t>
      </w:r>
      <w:r w:rsidR="00A3069D" w:rsidRPr="00D85DFD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чл.</w:t>
      </w:r>
      <w:r w:rsidR="0050074A" w:rsidRPr="00D85DFD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="002C141C" w:rsidRPr="00D85DFD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56</w:t>
      </w:r>
      <w:r w:rsidR="00A3069D" w:rsidRPr="00D85DFD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а, ал.</w:t>
      </w:r>
      <w:r w:rsidR="0050074A" w:rsidRPr="00D85DFD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="00A3069D" w:rsidRPr="00D85DFD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9</w:t>
      </w:r>
      <w:r w:rsidRPr="00D85DFD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="00854DDB" w:rsidRPr="00D85DFD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от</w:t>
      </w:r>
      <w:r w:rsidR="00BE1B66" w:rsidRPr="00D85DFD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 </w:t>
      </w:r>
      <w:r w:rsidRPr="00D85DFD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 xml:space="preserve">Закона за </w:t>
      </w:r>
      <w:r w:rsidR="00087A7A" w:rsidRPr="00D85DFD">
        <w:rPr>
          <w:rFonts w:ascii="Times New Roman" w:hAnsi="Times New Roman" w:cs="Times New Roman"/>
          <w:b/>
          <w:color w:val="auto"/>
          <w:sz w:val="24"/>
          <w:szCs w:val="24"/>
          <w:lang w:val="bg-BG"/>
        </w:rPr>
        <w:t>кредитните институции</w:t>
      </w:r>
      <w:bookmarkEnd w:id="8"/>
    </w:p>
    <w:p w14:paraId="0B57D480" w14:textId="77777777" w:rsidR="00DF4958" w:rsidRPr="002C141C" w:rsidRDefault="00DF4958" w:rsidP="002C141C">
      <w:pPr>
        <w:pStyle w:val="NoSpacing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bg-BG"/>
        </w:rPr>
      </w:pPr>
    </w:p>
    <w:p w14:paraId="594EECE1" w14:textId="0E54F9FB" w:rsidR="00E17229" w:rsidRPr="006A4130" w:rsidRDefault="00354DDF" w:rsidP="002C141C">
      <w:pPr>
        <w:pStyle w:val="ListParagraph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A4130">
        <w:rPr>
          <w:rFonts w:ascii="Times New Roman" w:hAnsi="Times New Roman" w:cs="Times New Roman"/>
          <w:sz w:val="24"/>
          <w:szCs w:val="24"/>
          <w:lang w:val="bg-BG"/>
        </w:rPr>
        <w:t xml:space="preserve">Съгласно </w:t>
      </w:r>
      <w:r w:rsidR="00BE1B66" w:rsidRPr="006A4130">
        <w:rPr>
          <w:rFonts w:ascii="Times New Roman" w:hAnsi="Times New Roman" w:cs="Times New Roman"/>
          <w:sz w:val="24"/>
          <w:szCs w:val="24"/>
          <w:lang w:val="bg-BG"/>
        </w:rPr>
        <w:t>изискванията</w:t>
      </w:r>
      <w:r w:rsidRPr="006A413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C784B" w:rsidRPr="006A4130">
        <w:rPr>
          <w:rFonts w:ascii="Times New Roman" w:hAnsi="Times New Roman" w:cs="Times New Roman"/>
          <w:sz w:val="24"/>
          <w:szCs w:val="24"/>
          <w:lang w:val="bg-BG"/>
        </w:rPr>
        <w:t>на</w:t>
      </w:r>
      <w:r w:rsidR="00BE1B66" w:rsidRPr="006A413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E0716">
        <w:rPr>
          <w:rFonts w:ascii="Times New Roman" w:hAnsi="Times New Roman" w:cs="Times New Roman"/>
          <w:sz w:val="24"/>
          <w:szCs w:val="24"/>
          <w:lang w:val="bg-BG"/>
        </w:rPr>
        <w:t>Закона за кредитните институции</w:t>
      </w:r>
      <w:r w:rsidR="00BE1B66" w:rsidRPr="006A4130">
        <w:rPr>
          <w:rFonts w:ascii="Times New Roman" w:hAnsi="Times New Roman" w:cs="Times New Roman"/>
          <w:sz w:val="24"/>
          <w:szCs w:val="24"/>
          <w:lang w:val="bg-BG"/>
        </w:rPr>
        <w:t>, и</w:t>
      </w:r>
      <w:r w:rsidRPr="00DF4958">
        <w:rPr>
          <w:rFonts w:ascii="Times New Roman" w:hAnsi="Times New Roman" w:cs="Times New Roman"/>
          <w:sz w:val="24"/>
          <w:szCs w:val="24"/>
          <w:lang w:val="bg-BG"/>
        </w:rPr>
        <w:t>нформация</w:t>
      </w:r>
      <w:r w:rsidR="00BE1B66" w:rsidRPr="006A413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DF4958">
        <w:rPr>
          <w:rFonts w:ascii="Times New Roman" w:hAnsi="Times New Roman" w:cs="Times New Roman"/>
          <w:sz w:val="24"/>
          <w:szCs w:val="24"/>
          <w:lang w:val="bg-BG"/>
        </w:rPr>
        <w:t xml:space="preserve"> в </w:t>
      </w:r>
      <w:r w:rsidR="001764F5" w:rsidRPr="006A4130">
        <w:rPr>
          <w:rFonts w:ascii="Times New Roman" w:hAnsi="Times New Roman" w:cs="Times New Roman"/>
          <w:sz w:val="24"/>
          <w:szCs w:val="24"/>
          <w:lang w:val="bg-BG"/>
        </w:rPr>
        <w:t>Регистъра на банковите сметки и сейфове</w:t>
      </w:r>
      <w:r w:rsidRPr="00DF4958">
        <w:rPr>
          <w:rFonts w:ascii="Times New Roman" w:hAnsi="Times New Roman" w:cs="Times New Roman"/>
          <w:sz w:val="24"/>
          <w:szCs w:val="24"/>
          <w:lang w:val="bg-BG"/>
        </w:rPr>
        <w:t xml:space="preserve"> се съхранява</w:t>
      </w:r>
      <w:r w:rsidR="00BE1B66" w:rsidRPr="006A413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DF4958">
        <w:rPr>
          <w:rFonts w:ascii="Times New Roman" w:hAnsi="Times New Roman" w:cs="Times New Roman"/>
          <w:sz w:val="24"/>
          <w:szCs w:val="24"/>
          <w:lang w:val="bg-BG"/>
        </w:rPr>
        <w:t xml:space="preserve">5 години от датата на </w:t>
      </w:r>
      <w:r w:rsidR="00BE1B66" w:rsidRPr="006A4130">
        <w:rPr>
          <w:rFonts w:ascii="Times New Roman" w:hAnsi="Times New Roman" w:cs="Times New Roman"/>
          <w:sz w:val="24"/>
          <w:szCs w:val="24"/>
          <w:lang w:val="bg-BG"/>
        </w:rPr>
        <w:t xml:space="preserve">закриване на банковата сметка, съответно 5 години от датата на прекратяване на договора за наем на банков сейф. Необходимо е да </w:t>
      </w:r>
      <w:r w:rsidR="00A3069D" w:rsidRPr="006A4130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="00BE1B66" w:rsidRPr="006A4130">
        <w:rPr>
          <w:rFonts w:ascii="Times New Roman" w:hAnsi="Times New Roman" w:cs="Times New Roman"/>
          <w:sz w:val="24"/>
          <w:szCs w:val="24"/>
          <w:lang w:val="bg-BG"/>
        </w:rPr>
        <w:t>направи</w:t>
      </w:r>
      <w:r w:rsidR="00BE1B66" w:rsidRPr="00DF4958">
        <w:rPr>
          <w:rFonts w:ascii="Times New Roman" w:hAnsi="Times New Roman" w:cs="Times New Roman"/>
          <w:sz w:val="24"/>
          <w:szCs w:val="24"/>
          <w:lang w:val="bg-BG"/>
        </w:rPr>
        <w:t xml:space="preserve"> а</w:t>
      </w:r>
      <w:r w:rsidRPr="006A4130">
        <w:rPr>
          <w:rFonts w:ascii="Times New Roman" w:hAnsi="Times New Roman" w:cs="Times New Roman"/>
          <w:sz w:val="24"/>
          <w:szCs w:val="24"/>
          <w:lang w:val="bg-BG"/>
        </w:rPr>
        <w:t xml:space="preserve">нализ на засегнатите бизнес и технологични процеси, свързани със съхраняването на данните и предоставянето на информация. </w:t>
      </w:r>
    </w:p>
    <w:p w14:paraId="34FF82D1" w14:textId="061C1910" w:rsidR="0050074A" w:rsidRDefault="00A3069D" w:rsidP="002C141C">
      <w:pPr>
        <w:pStyle w:val="ListParagraph"/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A4130">
        <w:rPr>
          <w:rFonts w:ascii="Times New Roman" w:hAnsi="Times New Roman" w:cs="Times New Roman"/>
          <w:sz w:val="24"/>
          <w:szCs w:val="24"/>
          <w:lang w:val="bg-BG"/>
        </w:rPr>
        <w:t>Разработване на нова функционалност за автоматично изпълнение срока за съхранение на данните в регистъра</w:t>
      </w:r>
      <w:r w:rsidR="00E17229" w:rsidRPr="006A4130">
        <w:rPr>
          <w:rFonts w:ascii="Times New Roman" w:hAnsi="Times New Roman" w:cs="Times New Roman"/>
          <w:sz w:val="24"/>
          <w:szCs w:val="24"/>
          <w:lang w:val="bg-BG"/>
        </w:rPr>
        <w:t>, в съответствие с видовете информация и сроковете за нейното съхранение</w:t>
      </w:r>
      <w:r w:rsidRPr="006A4130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6736BE9" w14:textId="7E2EA488" w:rsidR="0050074A" w:rsidRPr="00C26EE7" w:rsidRDefault="0050074A" w:rsidP="002C141C">
      <w:pPr>
        <w:pStyle w:val="ListParagraph"/>
        <w:spacing w:after="0" w:line="360" w:lineRule="auto"/>
        <w:ind w:left="0" w:firstLine="360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C26EE7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Срокът за реализация (проектиране, тестване и внедряване в реална експлоатация) на функционалността по т. IV </w:t>
      </w:r>
      <w:r w:rsidR="006A4130" w:rsidRPr="00C26EE7">
        <w:rPr>
          <w:rFonts w:ascii="Times New Roman" w:hAnsi="Times New Roman" w:cs="Times New Roman"/>
          <w:b/>
          <w:i/>
          <w:sz w:val="24"/>
          <w:szCs w:val="24"/>
          <w:lang w:val="bg-BG"/>
        </w:rPr>
        <w:t>е 31.03.2019 г.</w:t>
      </w:r>
    </w:p>
    <w:p w14:paraId="6F102456" w14:textId="73B857E9" w:rsidR="00E17229" w:rsidRPr="006A4130" w:rsidRDefault="00E17229" w:rsidP="002C141C">
      <w:pPr>
        <w:keepNext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bg-BG"/>
        </w:rPr>
      </w:pPr>
    </w:p>
    <w:p w14:paraId="00D6F354" w14:textId="08D75C54" w:rsidR="00354DDF" w:rsidRPr="00D8231E" w:rsidRDefault="00354DDF" w:rsidP="002C141C">
      <w:pPr>
        <w:keepNext/>
        <w:spacing w:after="0" w:line="360" w:lineRule="auto"/>
        <w:rPr>
          <w:rFonts w:ascii="Times New Roman" w:hAnsi="Times New Roman" w:cs="Times New Roman"/>
          <w:sz w:val="24"/>
          <w:szCs w:val="24"/>
          <w:lang w:val="bg-BG"/>
        </w:rPr>
      </w:pPr>
    </w:p>
    <w:sectPr w:rsidR="00354DDF" w:rsidRPr="00D8231E" w:rsidSect="006A4130">
      <w:footerReference w:type="default" r:id="rId9"/>
      <w:pgSz w:w="11907" w:h="16840" w:code="9"/>
      <w:pgMar w:top="1021" w:right="1191" w:bottom="1077" w:left="119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D1DFAE4" w15:done="0"/>
  <w15:commentEx w15:paraId="18227BA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AC9690" w14:textId="77777777" w:rsidR="00FD7D51" w:rsidRDefault="00FD7D51" w:rsidP="00C411E5">
      <w:pPr>
        <w:spacing w:after="0" w:line="240" w:lineRule="auto"/>
      </w:pPr>
      <w:r>
        <w:separator/>
      </w:r>
    </w:p>
  </w:endnote>
  <w:endnote w:type="continuationSeparator" w:id="0">
    <w:p w14:paraId="2EE0068B" w14:textId="77777777" w:rsidR="00FD7D51" w:rsidRDefault="00FD7D51" w:rsidP="00C41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93725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CF3E4F6" w14:textId="77777777" w:rsidR="00C411E5" w:rsidRDefault="00C411E5">
        <w:pPr>
          <w:pStyle w:val="Footer"/>
          <w:jc w:val="center"/>
          <w:rPr>
            <w:lang w:val="bg-BG"/>
          </w:rPr>
        </w:pPr>
      </w:p>
      <w:p w14:paraId="3A9FFE22" w14:textId="63A3910C" w:rsidR="00C411E5" w:rsidRDefault="00C411E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D3E8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5118824" w14:textId="77777777" w:rsidR="00C411E5" w:rsidRDefault="00C411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1F283" w14:textId="77777777" w:rsidR="00FD7D51" w:rsidRDefault="00FD7D51" w:rsidP="00C411E5">
      <w:pPr>
        <w:spacing w:after="0" w:line="240" w:lineRule="auto"/>
      </w:pPr>
      <w:r>
        <w:separator/>
      </w:r>
    </w:p>
  </w:footnote>
  <w:footnote w:type="continuationSeparator" w:id="0">
    <w:p w14:paraId="344D348C" w14:textId="77777777" w:rsidR="00FD7D51" w:rsidRDefault="00FD7D51" w:rsidP="00C411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A15BB"/>
    <w:multiLevelType w:val="hybridMultilevel"/>
    <w:tmpl w:val="C2583A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0D4C75"/>
    <w:multiLevelType w:val="hybridMultilevel"/>
    <w:tmpl w:val="1BCCC2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117D22"/>
    <w:multiLevelType w:val="hybridMultilevel"/>
    <w:tmpl w:val="A24A5872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D7374F"/>
    <w:multiLevelType w:val="hybridMultilevel"/>
    <w:tmpl w:val="C1B6F1A4"/>
    <w:lvl w:ilvl="0" w:tplc="CF8CB4B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33856"/>
    <w:multiLevelType w:val="hybridMultilevel"/>
    <w:tmpl w:val="F346587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CC6F96"/>
    <w:multiLevelType w:val="hybridMultilevel"/>
    <w:tmpl w:val="4EF8E7AA"/>
    <w:lvl w:ilvl="0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A5020B1"/>
    <w:multiLevelType w:val="hybridMultilevel"/>
    <w:tmpl w:val="9D4622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86C47"/>
    <w:multiLevelType w:val="hybridMultilevel"/>
    <w:tmpl w:val="5440A05A"/>
    <w:lvl w:ilvl="0" w:tplc="0402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611522"/>
    <w:multiLevelType w:val="hybridMultilevel"/>
    <w:tmpl w:val="DD9AECA6"/>
    <w:lvl w:ilvl="0" w:tplc="42D426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BB1119"/>
    <w:multiLevelType w:val="hybridMultilevel"/>
    <w:tmpl w:val="5ED45E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1C6600"/>
    <w:multiLevelType w:val="hybridMultilevel"/>
    <w:tmpl w:val="C366DB4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099642C"/>
    <w:multiLevelType w:val="hybridMultilevel"/>
    <w:tmpl w:val="D7602CEC"/>
    <w:lvl w:ilvl="0" w:tplc="42D426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0E37F9"/>
    <w:multiLevelType w:val="hybridMultilevel"/>
    <w:tmpl w:val="E7DA21D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7DA27E8"/>
    <w:multiLevelType w:val="hybridMultilevel"/>
    <w:tmpl w:val="6BE2214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1D263E"/>
    <w:multiLevelType w:val="hybridMultilevel"/>
    <w:tmpl w:val="DB944576"/>
    <w:lvl w:ilvl="0" w:tplc="FD622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3"/>
  </w:num>
  <w:num w:numId="8">
    <w:abstractNumId w:val="14"/>
  </w:num>
  <w:num w:numId="9">
    <w:abstractNumId w:val="13"/>
  </w:num>
  <w:num w:numId="10">
    <w:abstractNumId w:val="1"/>
  </w:num>
  <w:num w:numId="11">
    <w:abstractNumId w:val="10"/>
  </w:num>
  <w:num w:numId="12">
    <w:abstractNumId w:val="11"/>
  </w:num>
  <w:num w:numId="13">
    <w:abstractNumId w:val="12"/>
  </w:num>
  <w:num w:numId="14">
    <w:abstractNumId w:val="8"/>
  </w:num>
  <w:num w:numId="15">
    <w:abstractNumId w:val="7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танислава Стойнева">
    <w15:presenceInfo w15:providerId="AD" w15:userId="S-1-5-21-1390837525-253515866-931750244-5193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1C3"/>
    <w:rsid w:val="00005AFB"/>
    <w:rsid w:val="0001096F"/>
    <w:rsid w:val="000119B5"/>
    <w:rsid w:val="000358A2"/>
    <w:rsid w:val="00041FD7"/>
    <w:rsid w:val="00081821"/>
    <w:rsid w:val="00087A7A"/>
    <w:rsid w:val="0009310A"/>
    <w:rsid w:val="0009411F"/>
    <w:rsid w:val="000B0427"/>
    <w:rsid w:val="000C784B"/>
    <w:rsid w:val="000D7A0A"/>
    <w:rsid w:val="000E6C5B"/>
    <w:rsid w:val="000F52DD"/>
    <w:rsid w:val="001051B4"/>
    <w:rsid w:val="0011351B"/>
    <w:rsid w:val="00125851"/>
    <w:rsid w:val="001718A5"/>
    <w:rsid w:val="00172751"/>
    <w:rsid w:val="001764F5"/>
    <w:rsid w:val="001A5C18"/>
    <w:rsid w:val="001C71FE"/>
    <w:rsid w:val="001E35AB"/>
    <w:rsid w:val="001F6EA3"/>
    <w:rsid w:val="002036E8"/>
    <w:rsid w:val="00207249"/>
    <w:rsid w:val="00217DC7"/>
    <w:rsid w:val="00234897"/>
    <w:rsid w:val="00265CC9"/>
    <w:rsid w:val="002668E4"/>
    <w:rsid w:val="002B5784"/>
    <w:rsid w:val="002C141C"/>
    <w:rsid w:val="002D235B"/>
    <w:rsid w:val="002D2834"/>
    <w:rsid w:val="002E756D"/>
    <w:rsid w:val="00311B2C"/>
    <w:rsid w:val="00327E5D"/>
    <w:rsid w:val="00332A12"/>
    <w:rsid w:val="003338C8"/>
    <w:rsid w:val="00341057"/>
    <w:rsid w:val="00344AF6"/>
    <w:rsid w:val="0034695F"/>
    <w:rsid w:val="00354DDF"/>
    <w:rsid w:val="00362FB2"/>
    <w:rsid w:val="00390085"/>
    <w:rsid w:val="00391D20"/>
    <w:rsid w:val="0039263E"/>
    <w:rsid w:val="00393A91"/>
    <w:rsid w:val="003A18BA"/>
    <w:rsid w:val="003C466D"/>
    <w:rsid w:val="003D0F14"/>
    <w:rsid w:val="003D77AE"/>
    <w:rsid w:val="003F1549"/>
    <w:rsid w:val="00411E07"/>
    <w:rsid w:val="0043084E"/>
    <w:rsid w:val="00432BF6"/>
    <w:rsid w:val="004435F4"/>
    <w:rsid w:val="00443E59"/>
    <w:rsid w:val="00452F17"/>
    <w:rsid w:val="00463AD6"/>
    <w:rsid w:val="00466D60"/>
    <w:rsid w:val="00473DD3"/>
    <w:rsid w:val="00474D15"/>
    <w:rsid w:val="004C4EDC"/>
    <w:rsid w:val="004D3E84"/>
    <w:rsid w:val="004E0E3E"/>
    <w:rsid w:val="0050074A"/>
    <w:rsid w:val="005115D6"/>
    <w:rsid w:val="00530493"/>
    <w:rsid w:val="0053260E"/>
    <w:rsid w:val="005635BE"/>
    <w:rsid w:val="00565B26"/>
    <w:rsid w:val="00575973"/>
    <w:rsid w:val="00591F48"/>
    <w:rsid w:val="00594CED"/>
    <w:rsid w:val="005A3460"/>
    <w:rsid w:val="005E4E0C"/>
    <w:rsid w:val="005F2343"/>
    <w:rsid w:val="0060629B"/>
    <w:rsid w:val="00614E8E"/>
    <w:rsid w:val="00657790"/>
    <w:rsid w:val="006748FD"/>
    <w:rsid w:val="00675A76"/>
    <w:rsid w:val="00680CF8"/>
    <w:rsid w:val="0069692A"/>
    <w:rsid w:val="006A4130"/>
    <w:rsid w:val="006A4AC4"/>
    <w:rsid w:val="0071053F"/>
    <w:rsid w:val="00721C44"/>
    <w:rsid w:val="00725311"/>
    <w:rsid w:val="007322A3"/>
    <w:rsid w:val="00740782"/>
    <w:rsid w:val="00760D40"/>
    <w:rsid w:val="00784251"/>
    <w:rsid w:val="007A2587"/>
    <w:rsid w:val="007C7237"/>
    <w:rsid w:val="00814597"/>
    <w:rsid w:val="00815F20"/>
    <w:rsid w:val="00821F6B"/>
    <w:rsid w:val="00854DDB"/>
    <w:rsid w:val="00862FD4"/>
    <w:rsid w:val="0088655E"/>
    <w:rsid w:val="008B3A7C"/>
    <w:rsid w:val="008D1568"/>
    <w:rsid w:val="008E0716"/>
    <w:rsid w:val="0091193A"/>
    <w:rsid w:val="00913C5F"/>
    <w:rsid w:val="009200EF"/>
    <w:rsid w:val="00922341"/>
    <w:rsid w:val="009243BD"/>
    <w:rsid w:val="009266FE"/>
    <w:rsid w:val="00927258"/>
    <w:rsid w:val="009327BA"/>
    <w:rsid w:val="00941923"/>
    <w:rsid w:val="00950E39"/>
    <w:rsid w:val="00961784"/>
    <w:rsid w:val="00970A5F"/>
    <w:rsid w:val="00987620"/>
    <w:rsid w:val="00994B5E"/>
    <w:rsid w:val="009B21C3"/>
    <w:rsid w:val="009E5DCC"/>
    <w:rsid w:val="00A052D7"/>
    <w:rsid w:val="00A2065A"/>
    <w:rsid w:val="00A302DF"/>
    <w:rsid w:val="00A3069D"/>
    <w:rsid w:val="00A372B8"/>
    <w:rsid w:val="00A407A3"/>
    <w:rsid w:val="00A67A43"/>
    <w:rsid w:val="00A70980"/>
    <w:rsid w:val="00A712C1"/>
    <w:rsid w:val="00A82234"/>
    <w:rsid w:val="00A869DA"/>
    <w:rsid w:val="00A90E6D"/>
    <w:rsid w:val="00AB0AA4"/>
    <w:rsid w:val="00AB77E2"/>
    <w:rsid w:val="00AC5684"/>
    <w:rsid w:val="00AE3668"/>
    <w:rsid w:val="00AF75FE"/>
    <w:rsid w:val="00B16FB1"/>
    <w:rsid w:val="00B32477"/>
    <w:rsid w:val="00B35C85"/>
    <w:rsid w:val="00BB5EC7"/>
    <w:rsid w:val="00BC53D3"/>
    <w:rsid w:val="00BE1B66"/>
    <w:rsid w:val="00BF2EC0"/>
    <w:rsid w:val="00BF6B1B"/>
    <w:rsid w:val="00C1059B"/>
    <w:rsid w:val="00C26EE7"/>
    <w:rsid w:val="00C411E5"/>
    <w:rsid w:val="00C4648B"/>
    <w:rsid w:val="00C64636"/>
    <w:rsid w:val="00C71AD3"/>
    <w:rsid w:val="00C84683"/>
    <w:rsid w:val="00C90F11"/>
    <w:rsid w:val="00CA0C2A"/>
    <w:rsid w:val="00CA2489"/>
    <w:rsid w:val="00CC5591"/>
    <w:rsid w:val="00CD3963"/>
    <w:rsid w:val="00D0728A"/>
    <w:rsid w:val="00D20BBB"/>
    <w:rsid w:val="00D26578"/>
    <w:rsid w:val="00D3354B"/>
    <w:rsid w:val="00D52E8A"/>
    <w:rsid w:val="00D8231E"/>
    <w:rsid w:val="00D85DFD"/>
    <w:rsid w:val="00DA1076"/>
    <w:rsid w:val="00DB4DF2"/>
    <w:rsid w:val="00DB7BA6"/>
    <w:rsid w:val="00DB7EFE"/>
    <w:rsid w:val="00DD5130"/>
    <w:rsid w:val="00DF4958"/>
    <w:rsid w:val="00E17229"/>
    <w:rsid w:val="00E22702"/>
    <w:rsid w:val="00E25E32"/>
    <w:rsid w:val="00E45514"/>
    <w:rsid w:val="00E45E7A"/>
    <w:rsid w:val="00E64A11"/>
    <w:rsid w:val="00E91536"/>
    <w:rsid w:val="00EA4BA4"/>
    <w:rsid w:val="00EA5D4A"/>
    <w:rsid w:val="00EC1027"/>
    <w:rsid w:val="00EC5FD4"/>
    <w:rsid w:val="00EE2292"/>
    <w:rsid w:val="00F135D4"/>
    <w:rsid w:val="00F20327"/>
    <w:rsid w:val="00F20FC5"/>
    <w:rsid w:val="00F31EA0"/>
    <w:rsid w:val="00F571E9"/>
    <w:rsid w:val="00F657D3"/>
    <w:rsid w:val="00F70C35"/>
    <w:rsid w:val="00F855EB"/>
    <w:rsid w:val="00F86632"/>
    <w:rsid w:val="00FC31D8"/>
    <w:rsid w:val="00FC5B51"/>
    <w:rsid w:val="00FD7D51"/>
    <w:rsid w:val="00FF55D7"/>
    <w:rsid w:val="00FF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EAD1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14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14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14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042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20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0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0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BB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B4D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41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1E5"/>
  </w:style>
  <w:style w:type="paragraph" w:styleId="Footer">
    <w:name w:val="footer"/>
    <w:basedOn w:val="Normal"/>
    <w:link w:val="FooterChar"/>
    <w:uiPriority w:val="99"/>
    <w:unhideWhenUsed/>
    <w:rsid w:val="00C41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1E5"/>
  </w:style>
  <w:style w:type="paragraph" w:styleId="NoSpacing">
    <w:name w:val="No Spacing"/>
    <w:uiPriority w:val="1"/>
    <w:qFormat/>
    <w:rsid w:val="00DF495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C141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C141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C141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C141C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C26EE7"/>
    <w:pPr>
      <w:tabs>
        <w:tab w:val="left" w:pos="440"/>
        <w:tab w:val="right" w:leader="dot" w:pos="9515"/>
      </w:tabs>
      <w:spacing w:after="0" w:line="36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2C141C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C14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C141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141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C141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042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20B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20B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20B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B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20B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B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BBB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B4DF2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41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11E5"/>
  </w:style>
  <w:style w:type="paragraph" w:styleId="Footer">
    <w:name w:val="footer"/>
    <w:basedOn w:val="Normal"/>
    <w:link w:val="FooterChar"/>
    <w:uiPriority w:val="99"/>
    <w:unhideWhenUsed/>
    <w:rsid w:val="00C411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11E5"/>
  </w:style>
  <w:style w:type="paragraph" w:styleId="NoSpacing">
    <w:name w:val="No Spacing"/>
    <w:uiPriority w:val="1"/>
    <w:qFormat/>
    <w:rsid w:val="00DF495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2C141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2C141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C141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2C141C"/>
    <w:pPr>
      <w:spacing w:line="259" w:lineRule="auto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C26EE7"/>
    <w:pPr>
      <w:tabs>
        <w:tab w:val="left" w:pos="440"/>
        <w:tab w:val="right" w:leader="dot" w:pos="9515"/>
      </w:tabs>
      <w:spacing w:after="0" w:line="360" w:lineRule="auto"/>
    </w:pPr>
  </w:style>
  <w:style w:type="paragraph" w:styleId="TOC2">
    <w:name w:val="toc 2"/>
    <w:basedOn w:val="Normal"/>
    <w:next w:val="Normal"/>
    <w:autoRedefine/>
    <w:uiPriority w:val="39"/>
    <w:unhideWhenUsed/>
    <w:rsid w:val="002C141C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C14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B9E8A8-80B3-4F65-ABAE-598745A4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2191</Words>
  <Characters>12490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</dc:creator>
  <cp:lastModifiedBy>User</cp:lastModifiedBy>
  <cp:revision>2</cp:revision>
  <cp:lastPrinted>2018-04-18T07:48:00Z</cp:lastPrinted>
  <dcterms:created xsi:type="dcterms:W3CDTF">2018-04-18T07:49:00Z</dcterms:created>
  <dcterms:modified xsi:type="dcterms:W3CDTF">2018-04-18T07:49:00Z</dcterms:modified>
</cp:coreProperties>
</file>