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24" w:rsidRPr="001C1C24" w:rsidRDefault="001C1C24" w:rsidP="000058DC">
      <w:pPr>
        <w:spacing w:before="0"/>
        <w:ind w:firstLine="0"/>
        <w:jc w:val="right"/>
        <w:rPr>
          <w:b/>
          <w:szCs w:val="24"/>
          <w:lang w:val="bg-BG" w:eastAsia="bg-BG"/>
        </w:rPr>
      </w:pPr>
      <w:r>
        <w:rPr>
          <w:b/>
          <w:szCs w:val="24"/>
          <w:lang w:val="bg-BG" w:eastAsia="bg-BG"/>
        </w:rPr>
        <w:t>Приложение № 3.7. к</w:t>
      </w:r>
      <w:bookmarkStart w:id="0" w:name="_GoBack"/>
      <w:bookmarkEnd w:id="0"/>
      <w:r>
        <w:rPr>
          <w:b/>
          <w:szCs w:val="24"/>
          <w:lang w:val="bg-BG" w:eastAsia="bg-BG"/>
        </w:rPr>
        <w:t>ъм Приложение № 3</w:t>
      </w:r>
    </w:p>
    <w:p w:rsidR="001C1C24" w:rsidRDefault="001C1C24" w:rsidP="00E100B7">
      <w:pPr>
        <w:spacing w:before="0"/>
        <w:ind w:firstLine="0"/>
        <w:jc w:val="center"/>
        <w:rPr>
          <w:b/>
          <w:szCs w:val="24"/>
          <w:lang w:eastAsia="bg-BG"/>
        </w:rPr>
      </w:pPr>
    </w:p>
    <w:p w:rsidR="0040439F" w:rsidRPr="00E100B7" w:rsidRDefault="0040439F" w:rsidP="00E100B7">
      <w:pPr>
        <w:spacing w:before="0"/>
        <w:ind w:firstLine="0"/>
        <w:jc w:val="center"/>
        <w:rPr>
          <w:b/>
          <w:szCs w:val="24"/>
          <w:lang w:eastAsia="bg-BG"/>
        </w:rPr>
      </w:pPr>
      <w:proofErr w:type="spellStart"/>
      <w:r w:rsidRPr="00E100B7">
        <w:rPr>
          <w:b/>
          <w:szCs w:val="24"/>
          <w:lang w:eastAsia="bg-BG"/>
        </w:rPr>
        <w:t>Макет</w:t>
      </w:r>
      <w:proofErr w:type="spellEnd"/>
      <w:r w:rsidRPr="00E100B7">
        <w:rPr>
          <w:b/>
          <w:szCs w:val="24"/>
          <w:lang w:eastAsia="bg-BG"/>
        </w:rPr>
        <w:t xml:space="preserve"> </w:t>
      </w:r>
      <w:proofErr w:type="spellStart"/>
      <w:r w:rsidRPr="00E100B7">
        <w:rPr>
          <w:b/>
          <w:szCs w:val="24"/>
          <w:lang w:eastAsia="bg-BG"/>
        </w:rPr>
        <w:t>на</w:t>
      </w:r>
      <w:proofErr w:type="spellEnd"/>
      <w:r w:rsidRPr="00E100B7">
        <w:rPr>
          <w:b/>
          <w:szCs w:val="24"/>
          <w:lang w:eastAsia="bg-BG"/>
        </w:rPr>
        <w:t xml:space="preserve"> </w:t>
      </w:r>
      <w:proofErr w:type="spellStart"/>
      <w:r w:rsidRPr="00E100B7">
        <w:rPr>
          <w:b/>
          <w:szCs w:val="24"/>
          <w:lang w:eastAsia="bg-BG"/>
        </w:rPr>
        <w:t>справка</w:t>
      </w:r>
      <w:proofErr w:type="spellEnd"/>
      <w:r w:rsidRPr="00E100B7">
        <w:rPr>
          <w:b/>
          <w:szCs w:val="24"/>
          <w:lang w:eastAsia="bg-BG"/>
        </w:rPr>
        <w:t xml:space="preserve"> </w:t>
      </w:r>
      <w:proofErr w:type="spellStart"/>
      <w:r w:rsidRPr="00E100B7">
        <w:rPr>
          <w:b/>
          <w:szCs w:val="24"/>
          <w:lang w:eastAsia="bg-BG"/>
        </w:rPr>
        <w:t>за</w:t>
      </w:r>
      <w:proofErr w:type="spellEnd"/>
      <w:r w:rsidRPr="00E100B7">
        <w:rPr>
          <w:b/>
          <w:szCs w:val="24"/>
          <w:lang w:eastAsia="bg-BG"/>
        </w:rPr>
        <w:t xml:space="preserve"> </w:t>
      </w:r>
      <w:proofErr w:type="spellStart"/>
      <w:r w:rsidRPr="00E100B7">
        <w:rPr>
          <w:b/>
          <w:szCs w:val="24"/>
          <w:lang w:eastAsia="bg-BG"/>
        </w:rPr>
        <w:t>лихва</w:t>
      </w:r>
      <w:proofErr w:type="spellEnd"/>
      <w:r w:rsidRPr="00E100B7">
        <w:rPr>
          <w:b/>
          <w:szCs w:val="24"/>
          <w:lang w:eastAsia="bg-BG"/>
        </w:rPr>
        <w:t xml:space="preserve"> с </w:t>
      </w:r>
      <w:proofErr w:type="spellStart"/>
      <w:r w:rsidRPr="00E100B7">
        <w:rPr>
          <w:b/>
          <w:szCs w:val="24"/>
          <w:lang w:eastAsia="bg-BG"/>
        </w:rPr>
        <w:t>описание</w:t>
      </w:r>
      <w:proofErr w:type="spellEnd"/>
      <w:r w:rsidRPr="00E100B7">
        <w:rPr>
          <w:b/>
          <w:szCs w:val="24"/>
          <w:lang w:eastAsia="bg-BG"/>
        </w:rPr>
        <w:t xml:space="preserve"> </w:t>
      </w:r>
      <w:proofErr w:type="spellStart"/>
      <w:r w:rsidRPr="00E100B7">
        <w:rPr>
          <w:b/>
          <w:szCs w:val="24"/>
          <w:lang w:eastAsia="bg-BG"/>
        </w:rPr>
        <w:t>на</w:t>
      </w:r>
      <w:proofErr w:type="spellEnd"/>
      <w:r w:rsidRPr="00E100B7">
        <w:rPr>
          <w:b/>
          <w:szCs w:val="24"/>
          <w:lang w:eastAsia="bg-BG"/>
        </w:rPr>
        <w:t xml:space="preserve"> </w:t>
      </w:r>
      <w:proofErr w:type="spellStart"/>
      <w:r w:rsidRPr="00E100B7">
        <w:rPr>
          <w:b/>
          <w:szCs w:val="24"/>
          <w:lang w:eastAsia="bg-BG"/>
        </w:rPr>
        <w:t>съдържанието</w:t>
      </w:r>
      <w:proofErr w:type="spellEnd"/>
      <w:r w:rsidRPr="00E100B7">
        <w:rPr>
          <w:b/>
          <w:szCs w:val="24"/>
          <w:lang w:eastAsia="bg-BG"/>
        </w:rPr>
        <w:t xml:space="preserve"> и </w:t>
      </w:r>
      <w:proofErr w:type="spellStart"/>
      <w:r w:rsidRPr="00E100B7">
        <w:rPr>
          <w:b/>
          <w:szCs w:val="24"/>
          <w:lang w:eastAsia="bg-BG"/>
        </w:rPr>
        <w:t>параметрите</w:t>
      </w:r>
      <w:proofErr w:type="spellEnd"/>
    </w:p>
    <w:p w:rsidR="0040439F" w:rsidRDefault="0040439F" w:rsidP="00E100B7">
      <w:pPr>
        <w:ind w:firstLine="0"/>
        <w:rPr>
          <w:lang w:val="bg-BG"/>
        </w:rPr>
      </w:pPr>
      <w:r>
        <w:rPr>
          <w:lang w:val="bg-BG"/>
        </w:rPr>
        <w:t xml:space="preserve">Справката ще се изготвя за всяка банка за всеки месец /данните ще се зареждат ежедневно, а справката ще се генерира на първия работен ден от месеца, следващ отчетния месец/. Всяка банка може да вижда само нейната справка. БНБ може да вижда справки за всяка отделна банка, вкл. за техническата сметка на БНБ в ЕЦБ и справка за общо дължими лихви от всички банки. Данните да могат да се експортират в таблица </w:t>
      </w:r>
      <w:r>
        <w:t>Excel</w:t>
      </w:r>
      <w:r>
        <w:rPr>
          <w:lang w:val="bg-BG"/>
        </w:rPr>
        <w:t xml:space="preserve"> със съответния формат на колоните</w:t>
      </w:r>
      <w:r>
        <w:t xml:space="preserve">, </w:t>
      </w:r>
      <w:r>
        <w:rPr>
          <w:lang w:val="bg-BG"/>
        </w:rPr>
        <w:t>позволяващ последваща обработка.</w:t>
      </w:r>
    </w:p>
    <w:p w:rsidR="0040439F" w:rsidRDefault="0040439F" w:rsidP="00E100B7">
      <w:pPr>
        <w:spacing w:before="0"/>
        <w:ind w:firstLine="0"/>
        <w:rPr>
          <w:lang w:eastAsia="en-GB"/>
        </w:rPr>
      </w:pPr>
    </w:p>
    <w:p w:rsidR="0040439F" w:rsidRDefault="0040439F" w:rsidP="00E100B7">
      <w:pPr>
        <w:spacing w:before="0"/>
        <w:ind w:firstLine="0"/>
        <w:rPr>
          <w:lang w:eastAsia="en-GB"/>
        </w:rPr>
      </w:pPr>
      <w:r w:rsidRPr="00485CAC">
        <w:rPr>
          <w:rFonts w:ascii="Calibri" w:hAnsi="Calibri"/>
          <w:b/>
          <w:color w:val="000000"/>
          <w:sz w:val="22"/>
          <w:szCs w:val="22"/>
          <w:lang w:val="bg-BG" w:eastAsia="bg-BG"/>
        </w:rPr>
        <w:t>Дължима сума</w:t>
      </w:r>
      <w:r>
        <w:rPr>
          <w:rFonts w:ascii="Calibri" w:hAnsi="Calibri"/>
          <w:b/>
          <w:color w:val="000000"/>
          <w:sz w:val="22"/>
          <w:szCs w:val="22"/>
          <w:lang w:val="bg-BG" w:eastAsia="bg-BG"/>
        </w:rPr>
        <w:t xml:space="preserve"> за салдата по сметки</w:t>
      </w:r>
      <w:r w:rsidRPr="00485CAC">
        <w:rPr>
          <w:rFonts w:ascii="Calibri" w:hAnsi="Calibri"/>
          <w:b/>
          <w:color w:val="000000"/>
          <w:sz w:val="22"/>
          <w:szCs w:val="22"/>
          <w:lang w:val="bg-BG" w:eastAsia="bg-BG"/>
        </w:rPr>
        <w:t xml:space="preserve"> на участни</w:t>
      </w:r>
      <w:r>
        <w:rPr>
          <w:rFonts w:ascii="Calibri" w:hAnsi="Calibri"/>
          <w:b/>
          <w:color w:val="000000"/>
          <w:sz w:val="22"/>
          <w:szCs w:val="22"/>
          <w:lang w:val="bg-BG" w:eastAsia="bg-BG"/>
        </w:rPr>
        <w:t>к</w:t>
      </w:r>
      <w:r w:rsidRPr="00485CAC">
        <w:rPr>
          <w:rFonts w:ascii="Calibri" w:hAnsi="Calibri"/>
          <w:b/>
          <w:color w:val="000000"/>
          <w:sz w:val="22"/>
          <w:szCs w:val="22"/>
          <w:lang w:val="bg-BG" w:eastAsia="bg-BG"/>
        </w:rPr>
        <w:t xml:space="preserve"> в TARGET2-BNB</w:t>
      </w:r>
      <w:r>
        <w:rPr>
          <w:rFonts w:ascii="Calibri" w:hAnsi="Calibri"/>
          <w:b/>
          <w:color w:val="000000"/>
          <w:sz w:val="22"/>
          <w:szCs w:val="22"/>
          <w:lang w:val="bg-BG" w:eastAsia="bg-BG"/>
        </w:rPr>
        <w:t>, в евро</w:t>
      </w:r>
    </w:p>
    <w:tbl>
      <w:tblPr>
        <w:tblW w:w="6132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616"/>
        <w:gridCol w:w="1940"/>
        <w:gridCol w:w="1576"/>
      </w:tblGrid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485CAC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b/>
                <w:color w:val="000000"/>
                <w:szCs w:val="22"/>
                <w:lang w:val="bg-BG" w:eastAsia="bg-BG"/>
              </w:rPr>
            </w:pPr>
            <w:r w:rsidRPr="00485CAC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Дължима сума за месец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 w:rsidRPr="00485CAC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август</w:t>
            </w:r>
            <w:r w:rsidRPr="00485CAC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2017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0439F" w:rsidRPr="00485CAC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b/>
                <w:color w:val="000000"/>
                <w:szCs w:val="22"/>
                <w:lang w:val="bg-BG" w:eastAsia="bg-BG"/>
              </w:rPr>
            </w:pPr>
            <w:r w:rsidRPr="00485CAC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Участник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1800"/>
            </w:tblGrid>
            <w:tr w:rsidR="0040439F" w:rsidRPr="00CC59CF">
              <w:trPr>
                <w:trHeight w:val="300"/>
                <w:tblCellSpacing w:w="0" w:type="dxa"/>
              </w:trPr>
              <w:tc>
                <w:tcPr>
                  <w:tcW w:w="180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0439F" w:rsidRPr="00CC59CF" w:rsidRDefault="0040439F" w:rsidP="00E100B7">
                  <w:pPr>
                    <w:suppressAutoHyphens w:val="0"/>
                    <w:spacing w:before="0" w:line="240" w:lineRule="auto"/>
                    <w:ind w:firstLine="0"/>
                    <w:rPr>
                      <w:rFonts w:ascii="Calibri" w:hAnsi="Calibri"/>
                      <w:color w:val="000000"/>
                      <w:szCs w:val="22"/>
                      <w:lang w:val="bg-BG" w:eastAsia="bg-BG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val="bg-BG" w:eastAsia="bg-BG"/>
                    </w:rPr>
                    <w:t>име на банка</w:t>
                  </w:r>
                </w:p>
              </w:tc>
            </w:tr>
          </w:tbl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b/>
                <w:color w:val="000000"/>
                <w:szCs w:val="22"/>
                <w:lang w:val="bg-BG" w:eastAsia="bg-BG"/>
              </w:rPr>
            </w:pPr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BIC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287E49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eastAsia="bg-BG"/>
              </w:rPr>
              <w:t>XXXXXXXXXX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</w:tr>
      <w:tr w:rsidR="0040439F" w:rsidRPr="00CC59CF" w:rsidTr="0026444F">
        <w:trPr>
          <w:trHeight w:val="66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b/>
                <w:color w:val="000000"/>
                <w:szCs w:val="22"/>
                <w:lang w:val="bg-BG" w:eastAsia="bg-BG"/>
              </w:rPr>
            </w:pPr>
            <w:proofErr w:type="spellStart"/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Среднодневна</w:t>
            </w:r>
            <w:proofErr w:type="spellEnd"/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стойност</w:t>
            </w:r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 xml:space="preserve"> </w:t>
            </w:r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br/>
              <w:t>на наредените плащания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111,111.11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</w:tr>
      <w:tr w:rsidR="0040439F" w:rsidRPr="00CC59CF" w:rsidTr="0026444F">
        <w:trPr>
          <w:trHeight w:val="315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</w:tr>
      <w:tr w:rsidR="0040439F" w:rsidRPr="00CC59CF" w:rsidTr="0026444F">
        <w:trPr>
          <w:trHeight w:val="315"/>
        </w:trPr>
        <w:tc>
          <w:tcPr>
            <w:tcW w:w="2616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Дата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Крайно салдо</w:t>
            </w:r>
          </w:p>
        </w:tc>
        <w:tc>
          <w:tcPr>
            <w:tcW w:w="1576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Дължима сума</w:t>
            </w:r>
          </w:p>
        </w:tc>
      </w:tr>
      <w:tr w:rsidR="0040439F" w:rsidRPr="00CC59CF" w:rsidTr="0026444F">
        <w:trPr>
          <w:trHeight w:val="315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Arial" w:hAnsi="Arial" w:cs="Arial"/>
                <w:color w:val="000000"/>
                <w:sz w:val="20"/>
                <w:lang w:val="bg-BG" w:eastAsia="bg-BG"/>
              </w:rPr>
            </w:pPr>
            <w:r w:rsidRPr="00CC59CF">
              <w:rPr>
                <w:rFonts w:ascii="Arial" w:hAnsi="Arial" w:cs="Arial"/>
                <w:color w:val="000000"/>
                <w:sz w:val="20"/>
                <w:lang w:val="bg-BG" w:eastAsia="bg-BG"/>
              </w:rPr>
              <w:t>1.8.2017 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22,222.22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0.22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Arial" w:hAnsi="Arial" w:cs="Arial"/>
                <w:color w:val="000000"/>
                <w:sz w:val="20"/>
                <w:lang w:val="bg-BG" w:eastAsia="bg-BG"/>
              </w:rPr>
            </w:pPr>
            <w:r w:rsidRPr="00CC59CF">
              <w:rPr>
                <w:rFonts w:ascii="Arial" w:hAnsi="Arial" w:cs="Arial"/>
                <w:color w:val="000000"/>
                <w:sz w:val="20"/>
                <w:lang w:val="bg-BG" w:eastAsia="bg-BG"/>
              </w:rPr>
              <w:t>2.8.2017 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33,333.3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3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0.33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Arial" w:hAnsi="Arial" w:cs="Arial"/>
                <w:color w:val="000000"/>
                <w:sz w:val="20"/>
                <w:lang w:val="bg-BG" w:eastAsia="bg-BG"/>
              </w:rPr>
            </w:pPr>
            <w:r w:rsidRPr="00CC59CF">
              <w:rPr>
                <w:rFonts w:ascii="Arial" w:hAnsi="Arial" w:cs="Arial"/>
                <w:color w:val="000000"/>
                <w:sz w:val="20"/>
                <w:lang w:val="bg-BG" w:eastAsia="bg-BG"/>
              </w:rPr>
              <w:t>3.8.2017 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44,444.44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0.44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Arial" w:hAnsi="Arial" w:cs="Arial"/>
                <w:color w:val="000000"/>
                <w:sz w:val="20"/>
                <w:lang w:val="bg-BG" w:eastAsia="bg-BG"/>
              </w:rPr>
            </w:pPr>
            <w:r>
              <w:rPr>
                <w:rFonts w:ascii="Arial" w:hAnsi="Arial" w:cs="Arial"/>
                <w:color w:val="000000"/>
                <w:sz w:val="20"/>
                <w:lang w:val="bg-BG" w:eastAsia="bg-BG"/>
              </w:rPr>
              <w:t>……..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……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…..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Arial" w:hAnsi="Arial" w:cs="Arial"/>
                <w:color w:val="000000"/>
                <w:sz w:val="20"/>
                <w:lang w:val="bg-BG" w:eastAsia="bg-BG"/>
              </w:rPr>
            </w:pPr>
            <w:r w:rsidRPr="00CC59CF">
              <w:rPr>
                <w:rFonts w:ascii="Arial" w:hAnsi="Arial" w:cs="Arial"/>
                <w:color w:val="000000"/>
                <w:sz w:val="20"/>
                <w:lang w:val="bg-BG" w:eastAsia="bg-BG"/>
              </w:rPr>
              <w:t>30.8.2017 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555,555.55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5.55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Arial" w:hAnsi="Arial" w:cs="Arial"/>
                <w:color w:val="000000"/>
                <w:sz w:val="20"/>
                <w:lang w:val="bg-BG" w:eastAsia="bg-BG"/>
              </w:rPr>
            </w:pPr>
            <w:r w:rsidRPr="00CC59CF">
              <w:rPr>
                <w:rFonts w:ascii="Arial" w:hAnsi="Arial" w:cs="Arial"/>
                <w:color w:val="000000"/>
                <w:sz w:val="20"/>
                <w:lang w:val="bg-BG" w:eastAsia="bg-BG"/>
              </w:rPr>
              <w:lastRenderedPageBreak/>
              <w:t>31.8.2017 г.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666,666.66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>6.66</w:t>
            </w:r>
            <w:r w:rsidRPr="00CC59CF">
              <w:rPr>
                <w:rFonts w:ascii="Calibri" w:hAnsi="Calibri"/>
                <w:color w:val="000000"/>
                <w:sz w:val="22"/>
                <w:szCs w:val="22"/>
                <w:lang w:val="bg-BG" w:eastAsia="bg-BG"/>
              </w:rPr>
              <w:t xml:space="preserve"> 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b/>
                <w:color w:val="000000"/>
                <w:szCs w:val="22"/>
                <w:lang w:val="bg-BG" w:eastAsia="bg-BG"/>
              </w:rPr>
            </w:pPr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>Общо: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542028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b/>
                <w:color w:val="000000"/>
                <w:szCs w:val="22"/>
                <w:lang w:val="bg-BG" w:eastAsia="bg-BG"/>
              </w:rPr>
            </w:pPr>
            <w:r w:rsidRPr="00CC59CF">
              <w:rPr>
                <w:rFonts w:ascii="Calibri" w:hAnsi="Calibri"/>
                <w:b/>
                <w:color w:val="000000"/>
                <w:sz w:val="22"/>
                <w:szCs w:val="22"/>
                <w:lang w:val="bg-BG" w:eastAsia="bg-BG"/>
              </w:rPr>
              <w:t xml:space="preserve">119.37 </w:t>
            </w:r>
          </w:p>
        </w:tc>
      </w:tr>
      <w:tr w:rsidR="0040439F" w:rsidRPr="00CC59CF" w:rsidTr="0026444F">
        <w:trPr>
          <w:trHeight w:val="300"/>
        </w:trPr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rFonts w:ascii="Calibri" w:hAnsi="Calibri"/>
                <w:color w:val="000000"/>
                <w:szCs w:val="22"/>
                <w:lang w:val="bg-BG" w:eastAsia="bg-BG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0439F" w:rsidRPr="00CC59CF" w:rsidRDefault="0040439F" w:rsidP="00E100B7">
            <w:pPr>
              <w:suppressAutoHyphens w:val="0"/>
              <w:spacing w:before="0" w:line="240" w:lineRule="auto"/>
              <w:ind w:firstLine="0"/>
              <w:rPr>
                <w:sz w:val="20"/>
                <w:lang w:val="bg-BG" w:eastAsia="bg-BG"/>
              </w:rPr>
            </w:pPr>
          </w:p>
        </w:tc>
      </w:tr>
    </w:tbl>
    <w:p w:rsidR="0040439F" w:rsidRDefault="0040439F" w:rsidP="00E100B7">
      <w:pPr>
        <w:spacing w:before="0"/>
        <w:ind w:firstLine="0"/>
        <w:rPr>
          <w:lang w:val="bg-BG" w:eastAsia="en-GB"/>
        </w:rPr>
      </w:pPr>
      <w:r>
        <w:rPr>
          <w:lang w:val="bg-BG" w:eastAsia="en-GB"/>
        </w:rPr>
        <w:t>Легенда:</w:t>
      </w:r>
    </w:p>
    <w:p w:rsidR="0040439F" w:rsidRDefault="0040439F" w:rsidP="00E100B7">
      <w:pPr>
        <w:ind w:firstLine="0"/>
        <w:rPr>
          <w:lang w:val="bg-BG"/>
        </w:rPr>
      </w:pPr>
      <w:r>
        <w:rPr>
          <w:b/>
          <w:lang w:val="bg-BG"/>
        </w:rPr>
        <w:t xml:space="preserve"> „</w:t>
      </w:r>
      <w:r w:rsidRPr="002B195D">
        <w:rPr>
          <w:b/>
          <w:lang w:val="bg-BG"/>
        </w:rPr>
        <w:t>Участник</w:t>
      </w:r>
      <w:r>
        <w:rPr>
          <w:b/>
          <w:lang w:val="bg-BG"/>
        </w:rPr>
        <w:t>“</w:t>
      </w:r>
      <w:r>
        <w:rPr>
          <w:lang w:val="bg-BG"/>
        </w:rPr>
        <w:t xml:space="preserve"> – банката, за която се изготвя отчета. Изписва се пълното и точно име на банката или техническата сметка на БНБ в ЕЦБ</w:t>
      </w:r>
    </w:p>
    <w:p w:rsidR="0040439F" w:rsidRDefault="0040439F" w:rsidP="00E100B7">
      <w:pPr>
        <w:ind w:firstLine="0"/>
        <w:rPr>
          <w:lang w:val="bg-BG"/>
        </w:rPr>
      </w:pPr>
      <w:r>
        <w:rPr>
          <w:b/>
          <w:lang w:val="bg-BG"/>
        </w:rPr>
        <w:t xml:space="preserve"> „</w:t>
      </w:r>
      <w:r w:rsidRPr="002B195D">
        <w:rPr>
          <w:b/>
        </w:rPr>
        <w:t>BIC</w:t>
      </w:r>
      <w:r>
        <w:rPr>
          <w:b/>
          <w:lang w:val="bg-BG"/>
        </w:rPr>
        <w:t>“</w:t>
      </w:r>
      <w:r w:rsidRPr="002B195D">
        <w:rPr>
          <w:b/>
        </w:rPr>
        <w:t xml:space="preserve"> </w:t>
      </w:r>
      <w:r>
        <w:t xml:space="preserve">- SWIFT BIC </w:t>
      </w:r>
      <w:r>
        <w:rPr>
          <w:lang w:val="bg-BG"/>
        </w:rPr>
        <w:t>на съответната банка, за която се генерира справката</w:t>
      </w:r>
    </w:p>
    <w:p w:rsidR="0040439F" w:rsidRDefault="0040439F" w:rsidP="00E100B7">
      <w:pPr>
        <w:ind w:firstLine="0"/>
        <w:rPr>
          <w:lang w:val="bg-BG"/>
        </w:rPr>
      </w:pPr>
      <w:r>
        <w:rPr>
          <w:b/>
          <w:lang w:val="bg-BG"/>
        </w:rPr>
        <w:t>„</w:t>
      </w:r>
      <w:proofErr w:type="spellStart"/>
      <w:r w:rsidRPr="00CC59CF">
        <w:rPr>
          <w:b/>
        </w:rPr>
        <w:t>Среднодневна</w:t>
      </w:r>
      <w:proofErr w:type="spellEnd"/>
      <w:r w:rsidRPr="00CC59CF">
        <w:rPr>
          <w:b/>
        </w:rPr>
        <w:t xml:space="preserve"> </w:t>
      </w:r>
      <w:r>
        <w:rPr>
          <w:b/>
          <w:lang w:val="bg-BG"/>
        </w:rPr>
        <w:t>стойност</w:t>
      </w:r>
      <w:r w:rsidRPr="002B195D">
        <w:rPr>
          <w:b/>
        </w:rPr>
        <w:t xml:space="preserve"> </w:t>
      </w:r>
      <w:proofErr w:type="spellStart"/>
      <w:r w:rsidRPr="00CC59CF">
        <w:rPr>
          <w:b/>
        </w:rPr>
        <w:t>на</w:t>
      </w:r>
      <w:proofErr w:type="spellEnd"/>
      <w:r w:rsidRPr="00CC59CF">
        <w:rPr>
          <w:b/>
        </w:rPr>
        <w:t xml:space="preserve"> </w:t>
      </w:r>
      <w:proofErr w:type="spellStart"/>
      <w:r w:rsidRPr="00CC59CF">
        <w:rPr>
          <w:b/>
        </w:rPr>
        <w:t>наредените</w:t>
      </w:r>
      <w:proofErr w:type="spellEnd"/>
      <w:r w:rsidRPr="00CC59CF">
        <w:rPr>
          <w:b/>
        </w:rPr>
        <w:t xml:space="preserve"> </w:t>
      </w:r>
      <w:proofErr w:type="spellStart"/>
      <w:r w:rsidRPr="00CC59CF">
        <w:rPr>
          <w:b/>
        </w:rPr>
        <w:t>плащания</w:t>
      </w:r>
      <w:proofErr w:type="spellEnd"/>
      <w:r>
        <w:rPr>
          <w:b/>
          <w:lang w:val="bg-BG"/>
        </w:rPr>
        <w:t>“</w:t>
      </w:r>
      <w:r>
        <w:rPr>
          <w:lang w:val="bg-BG"/>
        </w:rPr>
        <w:t xml:space="preserve"> – изчислена  </w:t>
      </w:r>
      <w:proofErr w:type="spellStart"/>
      <w:r>
        <w:rPr>
          <w:lang w:val="bg-BG"/>
        </w:rPr>
        <w:t>среднодневна</w:t>
      </w:r>
      <w:proofErr w:type="spellEnd"/>
      <w:r>
        <w:rPr>
          <w:lang w:val="bg-BG"/>
        </w:rPr>
        <w:t xml:space="preserve"> сума на дебитен оборот по сметката на съответния участник; за техническата сметка на БНБ при ЕЦБ – праг определен от ЕЦБ. </w:t>
      </w:r>
    </w:p>
    <w:p w:rsidR="0040439F" w:rsidRDefault="0040439F" w:rsidP="00E100B7">
      <w:pPr>
        <w:ind w:firstLine="0"/>
        <w:rPr>
          <w:lang w:val="bg-BG"/>
        </w:rPr>
      </w:pPr>
      <w:r>
        <w:rPr>
          <w:lang w:val="bg-BG"/>
        </w:rPr>
        <w:t xml:space="preserve">Данните по дни излизат като </w:t>
      </w:r>
      <w:r w:rsidRPr="007C6BA0">
        <w:rPr>
          <w:b/>
          <w:lang w:val="bg-BG"/>
        </w:rPr>
        <w:t>таблица със следните колони</w:t>
      </w:r>
    </w:p>
    <w:p w:rsidR="0040439F" w:rsidRDefault="0040439F" w:rsidP="00E100B7">
      <w:pPr>
        <w:ind w:firstLine="0"/>
        <w:rPr>
          <w:lang w:val="bg-BG"/>
        </w:rPr>
      </w:pPr>
      <w:r>
        <w:rPr>
          <w:lang w:val="bg-BG"/>
        </w:rPr>
        <w:t>1 колона – „</w:t>
      </w:r>
      <w:r w:rsidRPr="00566A9E">
        <w:rPr>
          <w:b/>
          <w:lang w:val="bg-BG"/>
        </w:rPr>
        <w:t>Дата</w:t>
      </w:r>
      <w:r>
        <w:rPr>
          <w:b/>
          <w:lang w:val="bg-BG"/>
        </w:rPr>
        <w:t>“</w:t>
      </w:r>
      <w:r>
        <w:rPr>
          <w:lang w:val="bg-BG"/>
        </w:rPr>
        <w:t xml:space="preserve"> – в първа колона се попълват всички календарни дни от месеца вкл. събота и неделя</w:t>
      </w:r>
    </w:p>
    <w:p w:rsidR="0040439F" w:rsidRDefault="0040439F" w:rsidP="00E100B7">
      <w:pPr>
        <w:ind w:firstLine="0"/>
        <w:rPr>
          <w:lang w:val="bg-BG"/>
        </w:rPr>
      </w:pPr>
      <w:r>
        <w:rPr>
          <w:lang w:val="bg-BG"/>
        </w:rPr>
        <w:t>2 колона – „</w:t>
      </w:r>
      <w:r w:rsidRPr="00566A9E">
        <w:rPr>
          <w:b/>
          <w:lang w:val="bg-BG"/>
        </w:rPr>
        <w:t>Крайно салдо</w:t>
      </w:r>
      <w:r>
        <w:rPr>
          <w:b/>
          <w:lang w:val="bg-BG"/>
        </w:rPr>
        <w:t>“</w:t>
      </w:r>
      <w:r>
        <w:rPr>
          <w:lang w:val="bg-BG"/>
        </w:rPr>
        <w:t xml:space="preserve"> – попълва се крайното салдо по сметката за </w:t>
      </w:r>
      <w:proofErr w:type="spellStart"/>
      <w:r>
        <w:rPr>
          <w:lang w:val="bg-BG"/>
        </w:rPr>
        <w:t>сетълмент</w:t>
      </w:r>
      <w:proofErr w:type="spellEnd"/>
      <w:r>
        <w:rPr>
          <w:lang w:val="bg-BG"/>
        </w:rPr>
        <w:t xml:space="preserve"> в </w:t>
      </w:r>
      <w:r>
        <w:t>TARGET2-BNB</w:t>
      </w:r>
      <w:r>
        <w:rPr>
          <w:lang w:val="bg-BG"/>
        </w:rPr>
        <w:t xml:space="preserve"> на съответния участник. За крайно салдо на участник през неработните дни на </w:t>
      </w:r>
      <w:r>
        <w:t>TARGET2-BNB</w:t>
      </w:r>
      <w:r>
        <w:rPr>
          <w:lang w:val="bg-BG"/>
        </w:rPr>
        <w:t xml:space="preserve"> се приема крайното салдо на участника за последния работен ден</w:t>
      </w:r>
      <w:r>
        <w:t>.</w:t>
      </w:r>
    </w:p>
    <w:p w:rsidR="0040439F" w:rsidRDefault="0040439F" w:rsidP="00E100B7">
      <w:pPr>
        <w:ind w:firstLine="0"/>
        <w:rPr>
          <w:lang w:val="bg-BG"/>
        </w:rPr>
      </w:pPr>
      <w:r>
        <w:rPr>
          <w:lang w:val="bg-BG"/>
        </w:rPr>
        <w:t>3 колона – „</w:t>
      </w:r>
      <w:r w:rsidRPr="00566A9E">
        <w:rPr>
          <w:b/>
          <w:lang w:val="bg-BG"/>
        </w:rPr>
        <w:t>Дължима сума</w:t>
      </w:r>
      <w:r>
        <w:rPr>
          <w:b/>
          <w:lang w:val="bg-BG"/>
        </w:rPr>
        <w:t xml:space="preserve">“ – </w:t>
      </w:r>
      <w:r>
        <w:rPr>
          <w:lang w:val="bg-BG"/>
        </w:rPr>
        <w:t xml:space="preserve">показва сумата в евро, която се изчислява по формулата:  </w:t>
      </w:r>
    </w:p>
    <w:p w:rsidR="0040439F" w:rsidRDefault="000058DC" w:rsidP="00E100B7">
      <w:pPr>
        <w:ind w:firstLine="0"/>
        <w:rPr>
          <w:lang w:val="bg-BG"/>
        </w:rPr>
      </w:pPr>
      <w:r>
        <w:rPr>
          <w:noProof/>
          <w:lang w:val="bg-BG" w:eastAsia="bg-BG"/>
        </w:rPr>
        <w:lastRenderedPageBreak/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.25pt;margin-top:2.05pt;width:202.3pt;height:50pt;z-index:1;mso-wrap-distance-left:9.05pt;mso-wrap-distance-right:9.05pt" filled="t">
            <v:fill color2="black"/>
            <v:imagedata r:id="rId5" o:title=""/>
            <w10:wrap type="square" side="right"/>
          </v:shape>
          <o:OLEObject Type="Embed" ProgID="Equation.3" ShapeID="_x0000_s1026" DrawAspect="Content" ObjectID="_1580904967" r:id="rId6"/>
        </w:object>
      </w:r>
    </w:p>
    <w:p w:rsidR="0040439F" w:rsidRDefault="0040439F" w:rsidP="00E100B7">
      <w:pPr>
        <w:ind w:firstLine="0"/>
        <w:rPr>
          <w:lang w:val="bg-BG"/>
        </w:rPr>
      </w:pPr>
    </w:p>
    <w:p w:rsidR="0040439F" w:rsidRPr="007D06BD" w:rsidRDefault="0040439F" w:rsidP="00E100B7">
      <w:pPr>
        <w:spacing w:line="240" w:lineRule="auto"/>
        <w:ind w:firstLine="0"/>
        <w:rPr>
          <w:sz w:val="22"/>
          <w:szCs w:val="22"/>
          <w:lang w:eastAsia="en-GB"/>
        </w:rPr>
      </w:pPr>
      <w:proofErr w:type="spellStart"/>
      <w:r w:rsidRPr="007D06BD">
        <w:rPr>
          <w:sz w:val="22"/>
          <w:szCs w:val="22"/>
          <w:lang w:eastAsia="en-GB"/>
        </w:rPr>
        <w:t>Където</w:t>
      </w:r>
      <w:proofErr w:type="spellEnd"/>
      <w:r w:rsidRPr="007D06BD">
        <w:rPr>
          <w:sz w:val="22"/>
          <w:szCs w:val="22"/>
          <w:lang w:eastAsia="en-GB"/>
        </w:rPr>
        <w:t>:</w:t>
      </w:r>
    </w:p>
    <w:p w:rsidR="0040439F" w:rsidRPr="007D06BD" w:rsidRDefault="0040439F" w:rsidP="00E100B7">
      <w:pPr>
        <w:spacing w:line="240" w:lineRule="auto"/>
        <w:ind w:firstLine="0"/>
        <w:rPr>
          <w:sz w:val="22"/>
          <w:szCs w:val="22"/>
          <w:lang w:eastAsia="en-GB"/>
        </w:rPr>
      </w:pPr>
      <w:r w:rsidRPr="007D06BD">
        <w:rPr>
          <w:b/>
          <w:sz w:val="22"/>
          <w:szCs w:val="22"/>
          <w:lang w:eastAsia="en-GB"/>
        </w:rPr>
        <w:t>RO</w:t>
      </w:r>
      <w:r w:rsidRPr="007D06BD">
        <w:rPr>
          <w:b/>
          <w:sz w:val="22"/>
          <w:szCs w:val="22"/>
          <w:vertAlign w:val="subscript"/>
          <w:lang w:eastAsia="en-GB"/>
        </w:rPr>
        <w:t>T</w:t>
      </w:r>
      <w:r w:rsidRPr="007D06BD">
        <w:rPr>
          <w:sz w:val="22"/>
          <w:szCs w:val="22"/>
          <w:lang w:eastAsia="en-GB"/>
        </w:rPr>
        <w:t xml:space="preserve"> – </w:t>
      </w:r>
      <w:proofErr w:type="spellStart"/>
      <w:r w:rsidRPr="007D06BD">
        <w:rPr>
          <w:sz w:val="22"/>
          <w:szCs w:val="22"/>
          <w:lang w:eastAsia="en-GB"/>
        </w:rPr>
        <w:t>дължима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сума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участника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за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съответния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календарен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месец</w:t>
      </w:r>
      <w:proofErr w:type="spellEnd"/>
      <w:r w:rsidRPr="007D06BD">
        <w:rPr>
          <w:sz w:val="22"/>
          <w:szCs w:val="22"/>
          <w:lang w:eastAsia="en-GB"/>
        </w:rPr>
        <w:t>;</w:t>
      </w:r>
    </w:p>
    <w:p w:rsidR="0040439F" w:rsidRPr="007D06BD" w:rsidRDefault="0040439F" w:rsidP="00E100B7">
      <w:pPr>
        <w:spacing w:line="240" w:lineRule="auto"/>
        <w:ind w:firstLine="0"/>
        <w:rPr>
          <w:sz w:val="22"/>
          <w:szCs w:val="22"/>
          <w:lang w:eastAsia="en-GB"/>
        </w:rPr>
      </w:pPr>
      <w:r w:rsidRPr="007D06BD">
        <w:rPr>
          <w:b/>
          <w:sz w:val="22"/>
          <w:szCs w:val="22"/>
          <w:lang w:eastAsia="en-GB"/>
        </w:rPr>
        <w:t xml:space="preserve">t </w:t>
      </w:r>
      <w:r w:rsidRPr="007D06BD">
        <w:rPr>
          <w:sz w:val="22"/>
          <w:szCs w:val="22"/>
          <w:lang w:eastAsia="en-GB"/>
        </w:rPr>
        <w:t xml:space="preserve">– </w:t>
      </w:r>
      <w:proofErr w:type="spellStart"/>
      <w:proofErr w:type="gramStart"/>
      <w:r w:rsidRPr="007D06BD">
        <w:rPr>
          <w:sz w:val="22"/>
          <w:szCs w:val="22"/>
          <w:lang w:eastAsia="en-GB"/>
        </w:rPr>
        <w:t>календарен</w:t>
      </w:r>
      <w:proofErr w:type="spellEnd"/>
      <w:proofErr w:type="gram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ден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месеца</w:t>
      </w:r>
      <w:proofErr w:type="spellEnd"/>
      <w:r w:rsidRPr="007D06BD">
        <w:rPr>
          <w:sz w:val="22"/>
          <w:szCs w:val="22"/>
          <w:lang w:eastAsia="en-GB"/>
        </w:rPr>
        <w:t>;</w:t>
      </w:r>
    </w:p>
    <w:p w:rsidR="0040439F" w:rsidRPr="007D06BD" w:rsidRDefault="0040439F" w:rsidP="00E100B7">
      <w:pPr>
        <w:spacing w:line="240" w:lineRule="auto"/>
        <w:ind w:left="426" w:hanging="426"/>
        <w:rPr>
          <w:sz w:val="22"/>
          <w:szCs w:val="22"/>
          <w:lang w:eastAsia="en-GB"/>
        </w:rPr>
      </w:pPr>
      <w:r w:rsidRPr="007D06BD">
        <w:rPr>
          <w:b/>
          <w:sz w:val="22"/>
          <w:szCs w:val="22"/>
          <w:lang w:eastAsia="en-GB"/>
        </w:rPr>
        <w:t>A</w:t>
      </w:r>
      <w:r w:rsidRPr="007D06BD">
        <w:rPr>
          <w:b/>
          <w:sz w:val="22"/>
          <w:szCs w:val="22"/>
          <w:vertAlign w:val="subscript"/>
          <w:lang w:eastAsia="en-GB"/>
        </w:rPr>
        <w:t>t</w:t>
      </w:r>
      <w:r w:rsidRPr="007D06BD">
        <w:rPr>
          <w:sz w:val="22"/>
          <w:szCs w:val="22"/>
          <w:vertAlign w:val="subscript"/>
          <w:lang w:eastAsia="en-GB"/>
        </w:rPr>
        <w:t xml:space="preserve"> </w:t>
      </w:r>
      <w:r w:rsidRPr="007D06BD">
        <w:rPr>
          <w:sz w:val="22"/>
          <w:szCs w:val="22"/>
          <w:lang w:eastAsia="en-GB"/>
        </w:rPr>
        <w:t xml:space="preserve">– </w:t>
      </w:r>
      <w:proofErr w:type="spellStart"/>
      <w:r w:rsidRPr="007D06BD">
        <w:rPr>
          <w:sz w:val="22"/>
          <w:szCs w:val="22"/>
          <w:lang w:eastAsia="en-GB"/>
        </w:rPr>
        <w:t>частта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салдото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по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сметката</w:t>
      </w:r>
      <w:proofErr w:type="spellEnd"/>
      <w:r w:rsidRPr="007D06BD">
        <w:rPr>
          <w:sz w:val="22"/>
          <w:szCs w:val="22"/>
          <w:lang w:eastAsia="en-GB"/>
        </w:rPr>
        <w:t xml:space="preserve"> в </w:t>
      </w:r>
      <w:proofErr w:type="spellStart"/>
      <w:r w:rsidRPr="007D06BD">
        <w:rPr>
          <w:sz w:val="22"/>
          <w:szCs w:val="22"/>
          <w:lang w:eastAsia="en-GB"/>
        </w:rPr>
        <w:t>платежния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модул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до</w:t>
      </w:r>
      <w:proofErr w:type="spellEnd"/>
      <w:r w:rsidRPr="007D06BD">
        <w:rPr>
          <w:sz w:val="22"/>
          <w:szCs w:val="22"/>
          <w:lang w:eastAsia="en-GB"/>
        </w:rPr>
        <w:t xml:space="preserve"> 10%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среднодневната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стойност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наредените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участника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плащания</w:t>
      </w:r>
      <w:proofErr w:type="spellEnd"/>
      <w:r w:rsidRPr="007D06BD">
        <w:rPr>
          <w:sz w:val="22"/>
          <w:szCs w:val="22"/>
          <w:lang w:eastAsia="en-GB"/>
        </w:rPr>
        <w:t xml:space="preserve">, с </w:t>
      </w:r>
      <w:proofErr w:type="spellStart"/>
      <w:r w:rsidRPr="007D06BD">
        <w:rPr>
          <w:sz w:val="22"/>
          <w:szCs w:val="22"/>
          <w:lang w:eastAsia="en-GB"/>
        </w:rPr>
        <w:t>успешно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завършен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сетълмент</w:t>
      </w:r>
      <w:proofErr w:type="spellEnd"/>
      <w:r w:rsidRPr="007D06BD">
        <w:rPr>
          <w:sz w:val="22"/>
          <w:szCs w:val="22"/>
          <w:lang w:eastAsia="en-GB"/>
        </w:rPr>
        <w:t xml:space="preserve"> (</w:t>
      </w:r>
      <w:proofErr w:type="spellStart"/>
      <w:r w:rsidRPr="007D06BD">
        <w:rPr>
          <w:sz w:val="22"/>
          <w:szCs w:val="22"/>
          <w:lang w:eastAsia="en-GB"/>
        </w:rPr>
        <w:t>за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определяне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</w:rPr>
        <w:t>среднодневната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стойност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на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наредените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от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участника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плащания</w:t>
      </w:r>
      <w:proofErr w:type="spellEnd"/>
      <w:r w:rsidRPr="007D06BD">
        <w:rPr>
          <w:sz w:val="22"/>
          <w:szCs w:val="22"/>
        </w:rPr>
        <w:t xml:space="preserve">, с </w:t>
      </w:r>
      <w:proofErr w:type="spellStart"/>
      <w:r w:rsidRPr="007D06BD">
        <w:rPr>
          <w:sz w:val="22"/>
          <w:szCs w:val="22"/>
        </w:rPr>
        <w:t>успешно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завършен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сетълмент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се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използват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данни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за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месеца</w:t>
      </w:r>
      <w:proofErr w:type="spellEnd"/>
      <w:r w:rsidRPr="007D06BD">
        <w:rPr>
          <w:sz w:val="22"/>
          <w:szCs w:val="22"/>
        </w:rPr>
        <w:t xml:space="preserve">, </w:t>
      </w:r>
      <w:proofErr w:type="spellStart"/>
      <w:r w:rsidRPr="007D06BD">
        <w:rPr>
          <w:sz w:val="22"/>
          <w:szCs w:val="22"/>
        </w:rPr>
        <w:t>за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който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се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дължи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сумата</w:t>
      </w:r>
      <w:proofErr w:type="spellEnd"/>
      <w:r w:rsidRPr="007D06BD">
        <w:rPr>
          <w:sz w:val="22"/>
          <w:szCs w:val="22"/>
          <w:lang w:eastAsia="en-GB"/>
        </w:rPr>
        <w:t>);</w:t>
      </w:r>
    </w:p>
    <w:p w:rsidR="0040439F" w:rsidRPr="007D06BD" w:rsidRDefault="0040439F" w:rsidP="00E100B7">
      <w:pPr>
        <w:spacing w:line="240" w:lineRule="auto"/>
        <w:ind w:left="426" w:hanging="426"/>
        <w:rPr>
          <w:sz w:val="22"/>
          <w:szCs w:val="22"/>
          <w:lang w:eastAsia="en-GB"/>
        </w:rPr>
      </w:pPr>
      <w:proofErr w:type="spellStart"/>
      <w:proofErr w:type="gramStart"/>
      <w:r w:rsidRPr="007D06BD">
        <w:rPr>
          <w:b/>
          <w:sz w:val="22"/>
          <w:szCs w:val="22"/>
          <w:lang w:eastAsia="en-GB"/>
        </w:rPr>
        <w:t>B</w:t>
      </w:r>
      <w:r w:rsidRPr="007D06BD">
        <w:rPr>
          <w:b/>
          <w:sz w:val="22"/>
          <w:szCs w:val="22"/>
          <w:vertAlign w:val="subscript"/>
          <w:lang w:eastAsia="en-GB"/>
        </w:rPr>
        <w:t>t</w:t>
      </w:r>
      <w:proofErr w:type="spellEnd"/>
      <w:proofErr w:type="gramEnd"/>
      <w:r w:rsidRPr="007D06BD">
        <w:rPr>
          <w:b/>
          <w:sz w:val="22"/>
          <w:szCs w:val="22"/>
          <w:lang w:eastAsia="en-GB"/>
        </w:rPr>
        <w:t xml:space="preserve"> </w:t>
      </w:r>
      <w:r w:rsidRPr="007D06BD">
        <w:rPr>
          <w:sz w:val="22"/>
          <w:szCs w:val="22"/>
          <w:lang w:eastAsia="en-GB"/>
        </w:rPr>
        <w:t xml:space="preserve">– </w:t>
      </w:r>
      <w:proofErr w:type="spellStart"/>
      <w:r w:rsidRPr="007D06BD">
        <w:rPr>
          <w:sz w:val="22"/>
          <w:szCs w:val="22"/>
          <w:lang w:eastAsia="en-GB"/>
        </w:rPr>
        <w:t>частта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салдото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по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сметката</w:t>
      </w:r>
      <w:proofErr w:type="spellEnd"/>
      <w:r w:rsidRPr="007D06BD">
        <w:rPr>
          <w:sz w:val="22"/>
          <w:szCs w:val="22"/>
          <w:lang w:eastAsia="en-GB"/>
        </w:rPr>
        <w:t xml:space="preserve"> в </w:t>
      </w:r>
      <w:proofErr w:type="spellStart"/>
      <w:r w:rsidRPr="007D06BD">
        <w:rPr>
          <w:sz w:val="22"/>
          <w:szCs w:val="22"/>
          <w:lang w:eastAsia="en-GB"/>
        </w:rPr>
        <w:t>платежния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модул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над</w:t>
      </w:r>
      <w:proofErr w:type="spellEnd"/>
      <w:r w:rsidRPr="007D06BD">
        <w:rPr>
          <w:sz w:val="22"/>
          <w:szCs w:val="22"/>
          <w:lang w:eastAsia="en-GB"/>
        </w:rPr>
        <w:t xml:space="preserve"> 10%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среднодневната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стойност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наредените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участника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плащания</w:t>
      </w:r>
      <w:proofErr w:type="spellEnd"/>
      <w:r w:rsidRPr="007D06BD">
        <w:rPr>
          <w:sz w:val="22"/>
          <w:szCs w:val="22"/>
          <w:lang w:eastAsia="en-GB"/>
        </w:rPr>
        <w:t xml:space="preserve">, с </w:t>
      </w:r>
      <w:proofErr w:type="spellStart"/>
      <w:r w:rsidRPr="007D06BD">
        <w:rPr>
          <w:sz w:val="22"/>
          <w:szCs w:val="22"/>
          <w:lang w:eastAsia="en-GB"/>
        </w:rPr>
        <w:t>успешно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завършен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сетълмент</w:t>
      </w:r>
      <w:proofErr w:type="spellEnd"/>
      <w:r w:rsidRPr="007D06BD">
        <w:rPr>
          <w:sz w:val="22"/>
          <w:szCs w:val="22"/>
          <w:lang w:eastAsia="en-GB"/>
        </w:rPr>
        <w:t xml:space="preserve"> (</w:t>
      </w:r>
      <w:proofErr w:type="spellStart"/>
      <w:r w:rsidRPr="007D06BD">
        <w:rPr>
          <w:sz w:val="22"/>
          <w:szCs w:val="22"/>
          <w:lang w:eastAsia="en-GB"/>
        </w:rPr>
        <w:t>за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определяне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</w:rPr>
        <w:t>среднодневната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стойност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на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наредените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от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участника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плащания</w:t>
      </w:r>
      <w:proofErr w:type="spellEnd"/>
      <w:r w:rsidRPr="007D06BD">
        <w:rPr>
          <w:sz w:val="22"/>
          <w:szCs w:val="22"/>
        </w:rPr>
        <w:t xml:space="preserve">, с </w:t>
      </w:r>
      <w:proofErr w:type="spellStart"/>
      <w:r w:rsidRPr="007D06BD">
        <w:rPr>
          <w:sz w:val="22"/>
          <w:szCs w:val="22"/>
        </w:rPr>
        <w:t>успешно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завършен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сетълмент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се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използват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данни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за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месеца</w:t>
      </w:r>
      <w:proofErr w:type="spellEnd"/>
      <w:r w:rsidRPr="007D06BD">
        <w:rPr>
          <w:sz w:val="22"/>
          <w:szCs w:val="22"/>
        </w:rPr>
        <w:t xml:space="preserve">, </w:t>
      </w:r>
      <w:proofErr w:type="spellStart"/>
      <w:r w:rsidRPr="007D06BD">
        <w:rPr>
          <w:sz w:val="22"/>
          <w:szCs w:val="22"/>
        </w:rPr>
        <w:t>за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който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се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дължи</w:t>
      </w:r>
      <w:proofErr w:type="spellEnd"/>
      <w:r w:rsidRPr="007D06BD">
        <w:rPr>
          <w:sz w:val="22"/>
          <w:szCs w:val="22"/>
        </w:rPr>
        <w:t xml:space="preserve"> </w:t>
      </w:r>
      <w:proofErr w:type="spellStart"/>
      <w:r w:rsidRPr="007D06BD">
        <w:rPr>
          <w:sz w:val="22"/>
          <w:szCs w:val="22"/>
        </w:rPr>
        <w:t>сумата</w:t>
      </w:r>
      <w:proofErr w:type="spellEnd"/>
      <w:r w:rsidRPr="007D06BD">
        <w:rPr>
          <w:sz w:val="22"/>
          <w:szCs w:val="22"/>
          <w:lang w:eastAsia="en-GB"/>
        </w:rPr>
        <w:t>);</w:t>
      </w:r>
    </w:p>
    <w:p w:rsidR="0040439F" w:rsidRPr="007D06BD" w:rsidRDefault="0040439F" w:rsidP="00E100B7">
      <w:pPr>
        <w:spacing w:before="0" w:line="240" w:lineRule="auto"/>
        <w:ind w:firstLine="0"/>
        <w:rPr>
          <w:sz w:val="22"/>
          <w:szCs w:val="22"/>
          <w:lang w:eastAsia="en-GB"/>
        </w:rPr>
      </w:pPr>
      <w:proofErr w:type="spellStart"/>
      <w:r w:rsidRPr="007D06BD">
        <w:rPr>
          <w:b/>
          <w:sz w:val="22"/>
          <w:szCs w:val="22"/>
          <w:lang w:eastAsia="en-GB"/>
        </w:rPr>
        <w:t>DR</w:t>
      </w:r>
      <w:r w:rsidRPr="007D06BD">
        <w:rPr>
          <w:b/>
          <w:sz w:val="22"/>
          <w:szCs w:val="22"/>
          <w:vertAlign w:val="subscript"/>
          <w:lang w:eastAsia="en-GB"/>
        </w:rPr>
        <w:t>t</w:t>
      </w:r>
      <w:proofErr w:type="spellEnd"/>
      <w:r w:rsidRPr="007D06BD">
        <w:rPr>
          <w:sz w:val="22"/>
          <w:szCs w:val="22"/>
          <w:lang w:eastAsia="en-GB"/>
        </w:rPr>
        <w:t xml:space="preserve"> – </w:t>
      </w:r>
      <w:proofErr w:type="spellStart"/>
      <w:r w:rsidRPr="007D06BD">
        <w:rPr>
          <w:sz w:val="22"/>
          <w:szCs w:val="22"/>
          <w:lang w:eastAsia="en-GB"/>
        </w:rPr>
        <w:t>лихвен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процент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по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депозитното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улеснение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на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евросистемата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за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календарен</w:t>
      </w:r>
      <w:proofErr w:type="spellEnd"/>
      <w:r w:rsidRPr="007D06BD">
        <w:rPr>
          <w:sz w:val="22"/>
          <w:szCs w:val="22"/>
          <w:lang w:eastAsia="en-GB"/>
        </w:rPr>
        <w:t xml:space="preserve"> </w:t>
      </w:r>
      <w:proofErr w:type="spellStart"/>
      <w:r w:rsidRPr="007D06BD">
        <w:rPr>
          <w:sz w:val="22"/>
          <w:szCs w:val="22"/>
          <w:lang w:eastAsia="en-GB"/>
        </w:rPr>
        <w:t>ден</w:t>
      </w:r>
      <w:proofErr w:type="spellEnd"/>
      <w:r w:rsidRPr="007D06BD">
        <w:rPr>
          <w:sz w:val="22"/>
          <w:szCs w:val="22"/>
          <w:lang w:eastAsia="en-GB"/>
        </w:rPr>
        <w:t xml:space="preserve"> t.</w:t>
      </w:r>
    </w:p>
    <w:p w:rsidR="0040439F" w:rsidRDefault="0040439F" w:rsidP="00E100B7">
      <w:pPr>
        <w:ind w:firstLine="0"/>
        <w:rPr>
          <w:lang w:val="bg-BG"/>
        </w:rPr>
      </w:pPr>
      <w:r>
        <w:rPr>
          <w:lang w:val="bg-BG"/>
        </w:rPr>
        <w:t>Формулата трябва да може да бъде променяна от БНБ.</w:t>
      </w:r>
    </w:p>
    <w:p w:rsidR="0040439F" w:rsidRPr="00EF71B8" w:rsidRDefault="0040439F" w:rsidP="00E100B7">
      <w:pPr>
        <w:ind w:firstLine="0"/>
        <w:rPr>
          <w:b/>
          <w:lang w:val="bg-BG"/>
        </w:rPr>
      </w:pPr>
      <w:r w:rsidRPr="00EF71B8">
        <w:rPr>
          <w:b/>
          <w:lang w:val="bg-BG"/>
        </w:rPr>
        <w:t>Входни данни за изчислението на дължимата сума:</w:t>
      </w:r>
    </w:p>
    <w:p w:rsidR="0040439F" w:rsidRPr="00EF71B8" w:rsidRDefault="0040439F" w:rsidP="00542028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Ежедневно - Справка за </w:t>
      </w:r>
      <w:r w:rsidRPr="00542028">
        <w:rPr>
          <w:lang w:val="bg-BG"/>
        </w:rPr>
        <w:t xml:space="preserve">наличностите и оборотите по </w:t>
      </w:r>
      <w:proofErr w:type="spellStart"/>
      <w:r w:rsidRPr="00542028">
        <w:rPr>
          <w:lang w:val="bg-BG"/>
        </w:rPr>
        <w:t>сетълмент</w:t>
      </w:r>
      <w:proofErr w:type="spellEnd"/>
      <w:r w:rsidRPr="00542028">
        <w:rPr>
          <w:lang w:val="bg-BG"/>
        </w:rPr>
        <w:t xml:space="preserve"> сметките на участниците в TARGET2-BNB за дата</w:t>
      </w:r>
      <w:r>
        <w:rPr>
          <w:lang w:val="bg-BG"/>
        </w:rPr>
        <w:t xml:space="preserve"> – </w:t>
      </w:r>
      <w:r>
        <w:t>Daily report turnover</w:t>
      </w:r>
      <w:r>
        <w:rPr>
          <w:lang w:val="bg-BG"/>
        </w:rPr>
        <w:t>. Форматът може да бъде допълнително уточнен.</w:t>
      </w:r>
    </w:p>
    <w:p w:rsidR="0040439F" w:rsidRDefault="0040439F" w:rsidP="00542028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При промяна на лихвата по депозитното улеснение на ЕЦБ или на надбавката за страни извън еврозоната – БНБ трябва да има възможност за промяна на формулата за изчисление на лихвата </w:t>
      </w:r>
    </w:p>
    <w:p w:rsidR="0040439F" w:rsidRPr="00EF71B8" w:rsidRDefault="0040439F" w:rsidP="00BE0760">
      <w:pPr>
        <w:pStyle w:val="ListParagraph"/>
        <w:ind w:firstLine="0"/>
        <w:rPr>
          <w:lang w:val="bg-BG"/>
        </w:rPr>
      </w:pPr>
    </w:p>
    <w:p w:rsidR="0040439F" w:rsidRPr="00EF71B8" w:rsidRDefault="0040439F" w:rsidP="00EF71B8">
      <w:pPr>
        <w:ind w:firstLine="0"/>
        <w:rPr>
          <w:b/>
          <w:lang w:val="bg-BG"/>
        </w:rPr>
      </w:pPr>
      <w:r w:rsidRPr="00EF71B8">
        <w:rPr>
          <w:b/>
          <w:lang w:val="bg-BG"/>
        </w:rPr>
        <w:t>Изчисляване:</w:t>
      </w:r>
    </w:p>
    <w:p w:rsidR="0040439F" w:rsidRDefault="0040439F" w:rsidP="00EF71B8">
      <w:pPr>
        <w:spacing w:before="0"/>
        <w:ind w:firstLine="0"/>
        <w:rPr>
          <w:lang w:eastAsia="en-GB"/>
        </w:rPr>
      </w:pPr>
      <w:proofErr w:type="spellStart"/>
      <w:r>
        <w:rPr>
          <w:lang w:eastAsia="en-GB"/>
        </w:rPr>
        <w:lastRenderedPageBreak/>
        <w:t>Вс</w:t>
      </w:r>
      <w:proofErr w:type="spellEnd"/>
      <w:r>
        <w:rPr>
          <w:lang w:val="bg-BG" w:eastAsia="en-GB"/>
        </w:rPr>
        <w:t>яка банка</w:t>
      </w:r>
      <w:r>
        <w:rPr>
          <w:lang w:eastAsia="en-GB"/>
        </w:rPr>
        <w:t xml:space="preserve"> </w:t>
      </w:r>
      <w:proofErr w:type="spellStart"/>
      <w:r>
        <w:rPr>
          <w:lang w:eastAsia="en-GB"/>
        </w:rPr>
        <w:t>участник</w:t>
      </w:r>
      <w:proofErr w:type="spellEnd"/>
      <w:r>
        <w:rPr>
          <w:lang w:eastAsia="en-GB"/>
        </w:rPr>
        <w:t xml:space="preserve"> в </w:t>
      </w:r>
      <w:proofErr w:type="spellStart"/>
      <w:r>
        <w:rPr>
          <w:lang w:eastAsia="en-GB"/>
        </w:rPr>
        <w:t>националния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системен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компонент</w:t>
      </w:r>
      <w:proofErr w:type="spellEnd"/>
      <w:r>
        <w:rPr>
          <w:lang w:eastAsia="en-GB"/>
        </w:rPr>
        <w:t xml:space="preserve"> TARGET2-BNB </w:t>
      </w:r>
      <w:proofErr w:type="spellStart"/>
      <w:r>
        <w:rPr>
          <w:lang w:eastAsia="en-GB"/>
        </w:rPr>
        <w:t>дължи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сума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за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салдото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сметката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си</w:t>
      </w:r>
      <w:proofErr w:type="spellEnd"/>
      <w:r>
        <w:rPr>
          <w:lang w:eastAsia="en-GB"/>
        </w:rPr>
        <w:t xml:space="preserve"> в </w:t>
      </w:r>
      <w:proofErr w:type="spellStart"/>
      <w:r>
        <w:rPr>
          <w:lang w:eastAsia="en-GB"/>
        </w:rPr>
        <w:t>платежния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модул</w:t>
      </w:r>
      <w:proofErr w:type="spellEnd"/>
      <w:r>
        <w:rPr>
          <w:lang w:eastAsia="en-GB"/>
        </w:rPr>
        <w:t xml:space="preserve">, </w:t>
      </w:r>
      <w:proofErr w:type="spellStart"/>
      <w:r>
        <w:rPr>
          <w:lang w:eastAsia="en-GB"/>
        </w:rPr>
        <w:t>както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следва</w:t>
      </w:r>
      <w:proofErr w:type="spellEnd"/>
      <w:r>
        <w:rPr>
          <w:lang w:eastAsia="en-GB"/>
        </w:rPr>
        <w:t xml:space="preserve">: </w:t>
      </w:r>
    </w:p>
    <w:p w:rsidR="0040439F" w:rsidRDefault="0040439F" w:rsidP="00EF71B8">
      <w:pPr>
        <w:spacing w:before="0"/>
        <w:ind w:firstLine="709"/>
        <w:rPr>
          <w:lang w:eastAsia="en-GB"/>
        </w:rPr>
      </w:pPr>
      <w:r>
        <w:rPr>
          <w:lang w:val="bg-BG" w:eastAsia="en-GB"/>
        </w:rPr>
        <w:t>-</w:t>
      </w:r>
      <w:proofErr w:type="spellStart"/>
      <w:r>
        <w:rPr>
          <w:lang w:eastAsia="en-GB"/>
        </w:rPr>
        <w:t>за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частта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салдото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до</w:t>
      </w:r>
      <w:proofErr w:type="spellEnd"/>
      <w:r>
        <w:rPr>
          <w:lang w:eastAsia="en-GB"/>
        </w:rPr>
        <w:t xml:space="preserve"> 10%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среднодневната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стойност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наредените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участника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плащания</w:t>
      </w:r>
      <w:proofErr w:type="spellEnd"/>
      <w:r>
        <w:rPr>
          <w:lang w:eastAsia="en-GB"/>
        </w:rPr>
        <w:t xml:space="preserve">, с </w:t>
      </w:r>
      <w:proofErr w:type="spellStart"/>
      <w:r>
        <w:rPr>
          <w:lang w:eastAsia="en-GB"/>
        </w:rPr>
        <w:t>успешно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завършен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сетълмент</w:t>
      </w:r>
      <w:proofErr w:type="spellEnd"/>
      <w:r>
        <w:rPr>
          <w:lang w:eastAsia="en-GB"/>
        </w:rPr>
        <w:t xml:space="preserve">, </w:t>
      </w:r>
      <w:proofErr w:type="spellStart"/>
      <w:r>
        <w:rPr>
          <w:lang w:eastAsia="en-GB"/>
        </w:rPr>
        <w:t>се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дължи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сума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равна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нула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или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размера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лихвения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процент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депозитното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улеснение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Евросистемата</w:t>
      </w:r>
      <w:proofErr w:type="spellEnd"/>
      <w:r>
        <w:rPr>
          <w:lang w:eastAsia="en-GB"/>
        </w:rPr>
        <w:t xml:space="preserve">, </w:t>
      </w:r>
      <w:proofErr w:type="spellStart"/>
      <w:r>
        <w:rPr>
          <w:lang w:eastAsia="en-GB"/>
        </w:rPr>
        <w:t>което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двете</w:t>
      </w:r>
      <w:proofErr w:type="spellEnd"/>
      <w:r>
        <w:rPr>
          <w:lang w:eastAsia="en-GB"/>
        </w:rPr>
        <w:t xml:space="preserve"> е </w:t>
      </w:r>
      <w:proofErr w:type="spellStart"/>
      <w:r>
        <w:rPr>
          <w:lang w:eastAsia="en-GB"/>
        </w:rPr>
        <w:t>по-ниско</w:t>
      </w:r>
      <w:proofErr w:type="spellEnd"/>
      <w:r>
        <w:rPr>
          <w:lang w:eastAsia="en-GB"/>
        </w:rPr>
        <w:t xml:space="preserve">. </w:t>
      </w:r>
    </w:p>
    <w:p w:rsidR="0040439F" w:rsidRDefault="0040439F" w:rsidP="00EF71B8">
      <w:pPr>
        <w:spacing w:before="0"/>
        <w:ind w:firstLine="709"/>
        <w:rPr>
          <w:lang w:val="bg-BG" w:eastAsia="en-GB"/>
        </w:rPr>
      </w:pPr>
      <w:r>
        <w:rPr>
          <w:lang w:val="bg-BG" w:eastAsia="en-GB"/>
        </w:rPr>
        <w:t>-</w:t>
      </w:r>
      <w:proofErr w:type="spellStart"/>
      <w:r>
        <w:rPr>
          <w:lang w:eastAsia="en-GB"/>
        </w:rPr>
        <w:t>За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частта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салдото</w:t>
      </w:r>
      <w:proofErr w:type="spellEnd"/>
      <w:r>
        <w:rPr>
          <w:lang w:eastAsia="en-GB"/>
        </w:rPr>
        <w:t xml:space="preserve"> в </w:t>
      </w:r>
      <w:proofErr w:type="spellStart"/>
      <w:r>
        <w:rPr>
          <w:lang w:eastAsia="en-GB"/>
        </w:rPr>
        <w:t>размер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над</w:t>
      </w:r>
      <w:proofErr w:type="spellEnd"/>
      <w:r>
        <w:rPr>
          <w:lang w:eastAsia="en-GB"/>
        </w:rPr>
        <w:t xml:space="preserve"> 10%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среднодневната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стойност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наредените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участника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плащания</w:t>
      </w:r>
      <w:proofErr w:type="spellEnd"/>
      <w:r>
        <w:rPr>
          <w:lang w:eastAsia="en-GB"/>
        </w:rPr>
        <w:t xml:space="preserve">, с </w:t>
      </w:r>
      <w:proofErr w:type="spellStart"/>
      <w:r>
        <w:rPr>
          <w:lang w:eastAsia="en-GB"/>
        </w:rPr>
        <w:t>успешно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завършен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сетълмент</w:t>
      </w:r>
      <w:proofErr w:type="spellEnd"/>
      <w:r>
        <w:rPr>
          <w:lang w:eastAsia="en-GB"/>
        </w:rPr>
        <w:t xml:space="preserve">, </w:t>
      </w:r>
      <w:proofErr w:type="spellStart"/>
      <w:r>
        <w:rPr>
          <w:lang w:eastAsia="en-GB"/>
        </w:rPr>
        <w:t>се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дължи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сума</w:t>
      </w:r>
      <w:proofErr w:type="spellEnd"/>
      <w:r>
        <w:rPr>
          <w:lang w:eastAsia="en-GB"/>
        </w:rPr>
        <w:t xml:space="preserve">, </w:t>
      </w:r>
      <w:proofErr w:type="spellStart"/>
      <w:r>
        <w:rPr>
          <w:lang w:eastAsia="en-GB"/>
        </w:rPr>
        <w:t>равна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лихвения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процент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депозитното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улеснение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Евросистемата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минус</w:t>
      </w:r>
      <w:proofErr w:type="spellEnd"/>
      <w:r>
        <w:rPr>
          <w:lang w:eastAsia="en-GB"/>
        </w:rPr>
        <w:t xml:space="preserve"> 25 </w:t>
      </w:r>
      <w:proofErr w:type="spellStart"/>
      <w:r>
        <w:rPr>
          <w:lang w:eastAsia="en-GB"/>
        </w:rPr>
        <w:t>базисни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пункта</w:t>
      </w:r>
      <w:proofErr w:type="spellEnd"/>
      <w:r>
        <w:rPr>
          <w:lang w:eastAsia="en-GB"/>
        </w:rPr>
        <w:t xml:space="preserve">. </w:t>
      </w:r>
      <w:proofErr w:type="spellStart"/>
      <w:r>
        <w:rPr>
          <w:lang w:eastAsia="en-GB"/>
        </w:rPr>
        <w:t>Дължимата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всеки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участник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сума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се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изчислява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следната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формула</w:t>
      </w:r>
      <w:proofErr w:type="spellEnd"/>
      <w:r>
        <w:rPr>
          <w:lang w:eastAsia="en-GB"/>
        </w:rPr>
        <w:t>:</w:t>
      </w:r>
    </w:p>
    <w:p w:rsidR="0040439F" w:rsidRDefault="000058DC" w:rsidP="00EF71B8">
      <w:pPr>
        <w:ind w:firstLine="0"/>
        <w:rPr>
          <w:lang w:val="bg-BG"/>
        </w:rPr>
      </w:pPr>
      <w:r>
        <w:rPr>
          <w:noProof/>
          <w:lang w:val="bg-BG" w:eastAsia="bg-BG"/>
        </w:rPr>
        <w:object w:dxaOrig="1440" w:dyaOrig="1440">
          <v:shape id="_x0000_s1027" type="#_x0000_t75" style="position:absolute;left:0;text-align:left;margin-left:2.25pt;margin-top:2.05pt;width:202.3pt;height:50pt;z-index:2;mso-wrap-distance-left:9.05pt;mso-wrap-distance-right:9.05pt" filled="t">
            <v:fill color2="black"/>
            <v:imagedata r:id="rId5" o:title=""/>
            <w10:wrap type="square" side="right"/>
          </v:shape>
          <o:OLEObject Type="Embed" ProgID="Equation.3" ShapeID="_x0000_s1027" DrawAspect="Content" ObjectID="_1580904968" r:id="rId7"/>
        </w:object>
      </w:r>
    </w:p>
    <w:p w:rsidR="0040439F" w:rsidRDefault="0040439F" w:rsidP="00EF71B8">
      <w:pPr>
        <w:spacing w:before="0"/>
        <w:rPr>
          <w:lang w:eastAsia="bg-BG"/>
        </w:rPr>
      </w:pPr>
    </w:p>
    <w:p w:rsidR="0040439F" w:rsidRPr="00EF71B8" w:rsidRDefault="0040439F" w:rsidP="00EF71B8">
      <w:pPr>
        <w:ind w:firstLine="0"/>
        <w:rPr>
          <w:lang w:val="bg-BG"/>
        </w:rPr>
      </w:pPr>
    </w:p>
    <w:p w:rsidR="0040439F" w:rsidRPr="007D06BD" w:rsidRDefault="0040439F" w:rsidP="00E100B7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Изчисляване на </w:t>
      </w:r>
      <w:r w:rsidRPr="007D06BD">
        <w:rPr>
          <w:b/>
          <w:lang w:val="bg-BG"/>
        </w:rPr>
        <w:t xml:space="preserve">частта от салдото по сметка в платежния модул, което е </w:t>
      </w:r>
      <w:r>
        <w:rPr>
          <w:b/>
          <w:lang w:val="bg-BG"/>
        </w:rPr>
        <w:t>над</w:t>
      </w:r>
      <w:r w:rsidRPr="007D06BD">
        <w:rPr>
          <w:b/>
          <w:lang w:val="bg-BG"/>
        </w:rPr>
        <w:t xml:space="preserve"> 10%</w:t>
      </w:r>
      <w:r>
        <w:rPr>
          <w:lang w:val="bg-BG"/>
        </w:rPr>
        <w:t xml:space="preserve"> </w:t>
      </w:r>
      <w:r w:rsidRPr="00E14AC9">
        <w:rPr>
          <w:lang w:val="bg-BG"/>
        </w:rPr>
        <w:t>(</w:t>
      </w:r>
      <w:proofErr w:type="spellStart"/>
      <w:r w:rsidRPr="00E14AC9">
        <w:rPr>
          <w:b/>
          <w:lang w:val="bg-BG"/>
        </w:rPr>
        <w:t>Bt</w:t>
      </w:r>
      <w:proofErr w:type="spellEnd"/>
      <w:r w:rsidRPr="00E14AC9">
        <w:rPr>
          <w:lang w:val="bg-BG"/>
        </w:rPr>
        <w:t xml:space="preserve"> )</w:t>
      </w:r>
      <w:r>
        <w:rPr>
          <w:lang w:val="bg-BG"/>
        </w:rPr>
        <w:t xml:space="preserve"> от </w:t>
      </w:r>
      <w:proofErr w:type="spellStart"/>
      <w:r w:rsidRPr="00E14AC9">
        <w:rPr>
          <w:lang w:val="bg-BG"/>
        </w:rPr>
        <w:t>среднодневната</w:t>
      </w:r>
      <w:proofErr w:type="spellEnd"/>
      <w:r w:rsidRPr="00E14AC9">
        <w:rPr>
          <w:lang w:val="bg-BG"/>
        </w:rPr>
        <w:t xml:space="preserve"> стойност на наредените от участника плащания.</w:t>
      </w:r>
      <w:r>
        <w:rPr>
          <w:lang w:val="bg-BG"/>
        </w:rPr>
        <w:t xml:space="preserve"> Изчислява се за всеки един ден от съответния месец.</w:t>
      </w:r>
      <w:r>
        <w:rPr>
          <w:b/>
          <w:lang w:val="bg-BG"/>
        </w:rPr>
        <w:t xml:space="preserve"> </w:t>
      </w:r>
      <w:r w:rsidRPr="00E14AC9">
        <w:rPr>
          <w:lang w:val="bg-BG"/>
        </w:rPr>
        <w:t xml:space="preserve">В случай, че салдото не надхвърля десетте процента от </w:t>
      </w:r>
      <w:proofErr w:type="spellStart"/>
      <w:r w:rsidRPr="00E14AC9">
        <w:rPr>
          <w:lang w:val="bg-BG"/>
        </w:rPr>
        <w:t>среднодневната</w:t>
      </w:r>
      <w:proofErr w:type="spellEnd"/>
      <w:r w:rsidRPr="00E14AC9">
        <w:rPr>
          <w:lang w:val="bg-BG"/>
        </w:rPr>
        <w:t xml:space="preserve"> стойност на наредените от участника плащания, то </w:t>
      </w:r>
      <w:proofErr w:type="spellStart"/>
      <w:r w:rsidRPr="00E14AC9">
        <w:rPr>
          <w:lang w:val="bg-BG"/>
        </w:rPr>
        <w:t>Bt</w:t>
      </w:r>
      <w:proofErr w:type="spellEnd"/>
      <w:r w:rsidRPr="00E14AC9">
        <w:rPr>
          <w:lang w:val="bg-BG"/>
        </w:rPr>
        <w:t xml:space="preserve"> е равна на нула.</w:t>
      </w:r>
    </w:p>
    <w:p w:rsidR="0040439F" w:rsidRPr="007D06BD" w:rsidRDefault="0040439F" w:rsidP="00E100B7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Изчисляване на </w:t>
      </w:r>
      <w:r w:rsidRPr="007D06BD">
        <w:rPr>
          <w:b/>
          <w:lang w:val="bg-BG"/>
        </w:rPr>
        <w:t xml:space="preserve">частта от салдото по сметка в платежния модул, което е </w:t>
      </w:r>
      <w:r>
        <w:rPr>
          <w:b/>
          <w:lang w:val="bg-BG"/>
        </w:rPr>
        <w:t>до</w:t>
      </w:r>
      <w:r w:rsidRPr="007D06BD">
        <w:rPr>
          <w:b/>
          <w:lang w:val="bg-BG"/>
        </w:rPr>
        <w:t xml:space="preserve"> 10% </w:t>
      </w:r>
      <w:r w:rsidRPr="00592C7F">
        <w:rPr>
          <w:b/>
          <w:lang w:val="bg-BG"/>
        </w:rPr>
        <w:t>(</w:t>
      </w:r>
      <w:proofErr w:type="spellStart"/>
      <w:r>
        <w:rPr>
          <w:b/>
          <w:lang w:val="bg-BG"/>
        </w:rPr>
        <w:t>А</w:t>
      </w:r>
      <w:r w:rsidRPr="00592C7F">
        <w:rPr>
          <w:b/>
          <w:lang w:val="bg-BG"/>
        </w:rPr>
        <w:t>t</w:t>
      </w:r>
      <w:proofErr w:type="spellEnd"/>
      <w:r w:rsidRPr="00592C7F">
        <w:rPr>
          <w:b/>
          <w:lang w:val="bg-BG"/>
        </w:rPr>
        <w:t xml:space="preserve"> )</w:t>
      </w:r>
      <w:r>
        <w:rPr>
          <w:b/>
          <w:lang w:val="bg-BG"/>
        </w:rPr>
        <w:t xml:space="preserve"> </w:t>
      </w:r>
      <w:r>
        <w:rPr>
          <w:lang w:val="bg-BG"/>
        </w:rPr>
        <w:t xml:space="preserve">от </w:t>
      </w:r>
      <w:proofErr w:type="spellStart"/>
      <w:r w:rsidRPr="00E14AC9">
        <w:rPr>
          <w:lang w:val="bg-BG"/>
        </w:rPr>
        <w:t>среднодневната</w:t>
      </w:r>
      <w:proofErr w:type="spellEnd"/>
      <w:r w:rsidRPr="00E14AC9">
        <w:rPr>
          <w:lang w:val="bg-BG"/>
        </w:rPr>
        <w:t xml:space="preserve"> стойност на </w:t>
      </w:r>
      <w:r w:rsidRPr="00E14AC9">
        <w:rPr>
          <w:lang w:val="bg-BG"/>
        </w:rPr>
        <w:lastRenderedPageBreak/>
        <w:t>наредените от участника плащания</w:t>
      </w:r>
      <w:r>
        <w:rPr>
          <w:lang w:val="bg-BG"/>
        </w:rPr>
        <w:t>. Изчислява се за всеки един ден от съответния месец.</w:t>
      </w:r>
    </w:p>
    <w:p w:rsidR="0040439F" w:rsidRPr="000E7AC3" w:rsidRDefault="0040439F" w:rsidP="00F47B4C">
      <w:pPr>
        <w:pStyle w:val="ListParagraph"/>
        <w:numPr>
          <w:ilvl w:val="0"/>
          <w:numId w:val="1"/>
        </w:numPr>
        <w:rPr>
          <w:lang w:val="bg-BG"/>
        </w:rPr>
      </w:pPr>
      <w:proofErr w:type="spellStart"/>
      <w:r w:rsidRPr="000E7AC3">
        <w:rPr>
          <w:b/>
          <w:lang w:val="bg-BG"/>
        </w:rPr>
        <w:t>Среднодневна</w:t>
      </w:r>
      <w:proofErr w:type="spellEnd"/>
      <w:r w:rsidRPr="000E7AC3">
        <w:rPr>
          <w:b/>
          <w:lang w:val="bg-BG"/>
        </w:rPr>
        <w:t xml:space="preserve"> стойност</w:t>
      </w:r>
      <w:r w:rsidRPr="000E7AC3">
        <w:rPr>
          <w:lang w:val="bg-BG"/>
        </w:rPr>
        <w:t xml:space="preserve"> </w:t>
      </w:r>
      <w:r w:rsidRPr="000E7AC3">
        <w:rPr>
          <w:b/>
          <w:lang w:val="bg-BG"/>
        </w:rPr>
        <w:t xml:space="preserve">на наредени плащания </w:t>
      </w:r>
      <w:r w:rsidRPr="000E7AC3">
        <w:rPr>
          <w:lang w:val="bg-BG"/>
        </w:rPr>
        <w:t xml:space="preserve">– Изчислява се на база ежедневно заредени данни от колона </w:t>
      </w:r>
      <w:r>
        <w:t xml:space="preserve">D </w:t>
      </w:r>
      <w:r w:rsidRPr="000E7AC3">
        <w:rPr>
          <w:lang w:val="bg-BG"/>
        </w:rPr>
        <w:t xml:space="preserve">„наредени плащания“ от справка </w:t>
      </w:r>
      <w:r>
        <w:t>Daily report turnover.</w:t>
      </w:r>
      <w:r w:rsidRPr="000E7AC3">
        <w:rPr>
          <w:lang w:val="bg-BG"/>
        </w:rPr>
        <w:t xml:space="preserve"> Сборът от ежедневните дебитни обороти за месеца се дели на броя на работните дни на </w:t>
      </w:r>
      <w:r>
        <w:rPr>
          <w:lang w:eastAsia="en-GB"/>
        </w:rPr>
        <w:t>TARGET2</w:t>
      </w:r>
      <w:r w:rsidRPr="000E7AC3">
        <w:rPr>
          <w:lang w:val="bg-BG" w:eastAsia="en-GB"/>
        </w:rPr>
        <w:t xml:space="preserve">. </w:t>
      </w:r>
      <w:r w:rsidRPr="007A3533">
        <w:rPr>
          <w:b/>
          <w:lang w:val="bg-BG"/>
        </w:rPr>
        <w:t xml:space="preserve">За техническата сметка на БНБ в </w:t>
      </w:r>
      <w:r w:rsidRPr="000E7AC3">
        <w:rPr>
          <w:b/>
          <w:lang w:val="bg-BG"/>
        </w:rPr>
        <w:t>ЕЦБ</w:t>
      </w:r>
      <w:r>
        <w:rPr>
          <w:b/>
          <w:lang w:val="bg-BG"/>
        </w:rPr>
        <w:t xml:space="preserve"> </w:t>
      </w:r>
      <w:proofErr w:type="spellStart"/>
      <w:r>
        <w:rPr>
          <w:b/>
          <w:lang w:val="bg-BG"/>
        </w:rPr>
        <w:t>среднодневната</w:t>
      </w:r>
      <w:proofErr w:type="spellEnd"/>
      <w:r>
        <w:rPr>
          <w:b/>
          <w:lang w:val="bg-BG"/>
        </w:rPr>
        <w:t xml:space="preserve"> стойност на наредените плащания не се изчислява по този начин, защото е </w:t>
      </w:r>
      <w:r w:rsidRPr="006F5DCF">
        <w:rPr>
          <w:b/>
          <w:lang w:val="bg-BG"/>
        </w:rPr>
        <w:t>праг</w:t>
      </w:r>
      <w:r>
        <w:rPr>
          <w:b/>
          <w:lang w:val="bg-BG"/>
        </w:rPr>
        <w:t>, определян</w:t>
      </w:r>
      <w:r w:rsidRPr="006F5DCF">
        <w:rPr>
          <w:b/>
          <w:lang w:val="bg-BG"/>
        </w:rPr>
        <w:t xml:space="preserve"> годишно от ЕЦБ</w:t>
      </w:r>
      <w:r>
        <w:rPr>
          <w:b/>
          <w:lang w:val="bg-BG"/>
        </w:rPr>
        <w:t xml:space="preserve">. </w:t>
      </w:r>
    </w:p>
    <w:p w:rsidR="0040439F" w:rsidRDefault="0040439F" w:rsidP="00E100B7">
      <w:pPr>
        <w:pStyle w:val="ListParagraph"/>
        <w:numPr>
          <w:ilvl w:val="0"/>
          <w:numId w:val="1"/>
        </w:numPr>
        <w:rPr>
          <w:lang w:val="bg-BG"/>
        </w:rPr>
      </w:pPr>
      <w:r w:rsidRPr="0030187B">
        <w:rPr>
          <w:b/>
          <w:lang w:val="bg-BG"/>
        </w:rPr>
        <w:t xml:space="preserve">Работните дни на </w:t>
      </w:r>
      <w:r w:rsidRPr="0030187B">
        <w:rPr>
          <w:b/>
          <w:lang w:eastAsia="en-GB"/>
        </w:rPr>
        <w:t>TARGET2</w:t>
      </w:r>
      <w:r>
        <w:rPr>
          <w:lang w:val="bg-BG" w:eastAsia="en-GB"/>
        </w:rPr>
        <w:t xml:space="preserve"> не съвпадат с работните дни за страната. </w:t>
      </w:r>
    </w:p>
    <w:p w:rsidR="0040439F" w:rsidRPr="00E44DFB" w:rsidRDefault="0040439F" w:rsidP="00E100B7">
      <w:pPr>
        <w:pStyle w:val="ListParagraph"/>
        <w:numPr>
          <w:ilvl w:val="0"/>
          <w:numId w:val="1"/>
        </w:numPr>
        <w:rPr>
          <w:lang w:val="bg-BG"/>
        </w:rPr>
      </w:pPr>
      <w:r w:rsidRPr="00E14AC9">
        <w:rPr>
          <w:b/>
          <w:lang w:val="bg-BG"/>
        </w:rPr>
        <w:t>лихвен процент по депозитното</w:t>
      </w:r>
      <w:r w:rsidRPr="00E14AC9">
        <w:rPr>
          <w:b/>
        </w:rPr>
        <w:t xml:space="preserve"> </w:t>
      </w:r>
      <w:r w:rsidRPr="00E14AC9">
        <w:rPr>
          <w:b/>
          <w:lang w:val="bg-BG"/>
        </w:rPr>
        <w:t xml:space="preserve">улеснение на </w:t>
      </w:r>
      <w:proofErr w:type="spellStart"/>
      <w:r w:rsidRPr="00E14AC9">
        <w:rPr>
          <w:b/>
          <w:lang w:val="bg-BG"/>
        </w:rPr>
        <w:t>евросистемата</w:t>
      </w:r>
      <w:proofErr w:type="spellEnd"/>
      <w:r>
        <w:rPr>
          <w:lang w:val="bg-BG"/>
        </w:rPr>
        <w:t xml:space="preserve"> (</w:t>
      </w:r>
      <w:proofErr w:type="spellStart"/>
      <w:r w:rsidRPr="00E14AC9">
        <w:rPr>
          <w:b/>
          <w:lang w:val="bg-BG"/>
        </w:rPr>
        <w:t>DRt</w:t>
      </w:r>
      <w:proofErr w:type="spellEnd"/>
      <w:r w:rsidRPr="00592C7F">
        <w:rPr>
          <w:lang w:val="bg-BG"/>
        </w:rPr>
        <w:t xml:space="preserve"> </w:t>
      </w:r>
      <w:r>
        <w:rPr>
          <w:lang w:val="bg-BG"/>
        </w:rPr>
        <w:t>във формулата) – величината да може да бъде променяна от оторизирани служители на БНБ, като трябва да има възможност да бъде отрицателно число. Към момента приложимата стойност е -0,40%.</w:t>
      </w:r>
    </w:p>
    <w:p w:rsidR="0040439F" w:rsidRDefault="0040439F" w:rsidP="00E100B7">
      <w:pPr>
        <w:pStyle w:val="ListParagraph"/>
        <w:numPr>
          <w:ilvl w:val="0"/>
          <w:numId w:val="1"/>
        </w:numPr>
        <w:rPr>
          <w:lang w:val="bg-BG"/>
        </w:rPr>
      </w:pPr>
      <w:r>
        <w:rPr>
          <w:lang w:val="bg-BG"/>
        </w:rPr>
        <w:t xml:space="preserve">стойността от формулата </w:t>
      </w:r>
      <w:r w:rsidRPr="00592C7F">
        <w:rPr>
          <w:b/>
          <w:lang w:val="bg-BG"/>
        </w:rPr>
        <w:t>-0,25</w:t>
      </w:r>
      <w:r>
        <w:rPr>
          <w:b/>
          <w:lang w:val="bg-BG"/>
        </w:rPr>
        <w:t xml:space="preserve">% (т.нар. надбавка)  </w:t>
      </w:r>
      <w:r>
        <w:rPr>
          <w:lang w:val="bg-BG"/>
        </w:rPr>
        <w:t>величината трябва да може да се бъде променяна  от оторизирани служители на БНБ, като трябва да има възможност да бъде отрицателно число. Към момента приложимата стойност е 0,25%.</w:t>
      </w:r>
    </w:p>
    <w:p w:rsidR="0040439F" w:rsidRDefault="0040439F" w:rsidP="00E100B7">
      <w:pPr>
        <w:ind w:firstLine="0"/>
        <w:rPr>
          <w:lang w:val="bg-BG"/>
        </w:rPr>
      </w:pPr>
      <w:r>
        <w:rPr>
          <w:b/>
          <w:lang w:val="bg-BG"/>
        </w:rPr>
        <w:t xml:space="preserve"> „</w:t>
      </w:r>
      <w:proofErr w:type="spellStart"/>
      <w:r>
        <w:rPr>
          <w:b/>
        </w:rPr>
        <w:t>Общо</w:t>
      </w:r>
      <w:proofErr w:type="spellEnd"/>
      <w:r>
        <w:rPr>
          <w:b/>
        </w:rPr>
        <w:t>”</w:t>
      </w:r>
      <w:r>
        <w:rPr>
          <w:b/>
          <w:lang w:val="bg-BG"/>
        </w:rPr>
        <w:t xml:space="preserve"> – </w:t>
      </w:r>
      <w:r w:rsidRPr="007C6BA0">
        <w:rPr>
          <w:lang w:val="bg-BG"/>
        </w:rPr>
        <w:t xml:space="preserve">информацията показва сумата в евро, представляваща сбор от сумите </w:t>
      </w:r>
      <w:r>
        <w:rPr>
          <w:lang w:val="bg-BG"/>
        </w:rPr>
        <w:t>от колона „</w:t>
      </w:r>
      <w:r w:rsidRPr="00566A9E">
        <w:rPr>
          <w:b/>
          <w:lang w:val="bg-BG"/>
        </w:rPr>
        <w:t>Дължима сума</w:t>
      </w:r>
      <w:r>
        <w:rPr>
          <w:b/>
          <w:lang w:val="bg-BG"/>
        </w:rPr>
        <w:t xml:space="preserve">“ </w:t>
      </w:r>
      <w:r w:rsidRPr="007C6BA0">
        <w:rPr>
          <w:lang w:val="bg-BG"/>
        </w:rPr>
        <w:t>в Таблицата</w:t>
      </w:r>
      <w:r>
        <w:rPr>
          <w:lang w:val="bg-BG"/>
        </w:rPr>
        <w:t xml:space="preserve"> по-горе.</w:t>
      </w:r>
    </w:p>
    <w:p w:rsidR="0040439F" w:rsidRDefault="0040439F" w:rsidP="00E100B7">
      <w:pPr>
        <w:ind w:firstLine="0"/>
        <w:rPr>
          <w:lang w:val="bg-BG"/>
        </w:rPr>
      </w:pPr>
    </w:p>
    <w:p w:rsidR="0040439F" w:rsidRPr="000E7AC3" w:rsidRDefault="0040439F" w:rsidP="00E100B7">
      <w:pPr>
        <w:ind w:firstLine="0"/>
        <w:rPr>
          <w:b/>
          <w:lang w:val="bg-BG"/>
        </w:rPr>
      </w:pPr>
      <w:r w:rsidRPr="007A3533">
        <w:rPr>
          <w:b/>
          <w:lang w:val="bg-BG"/>
        </w:rPr>
        <w:lastRenderedPageBreak/>
        <w:t xml:space="preserve">За техническата сметка на БНБ в </w:t>
      </w:r>
      <w:r w:rsidRPr="000E7AC3">
        <w:rPr>
          <w:b/>
          <w:lang w:val="bg-BG"/>
        </w:rPr>
        <w:t>ЕЦБ (</w:t>
      </w:r>
      <w:r w:rsidRPr="000E7AC3">
        <w:rPr>
          <w:b/>
        </w:rPr>
        <w:t>EUX</w:t>
      </w:r>
      <w:r w:rsidRPr="000E7AC3">
        <w:rPr>
          <w:b/>
          <w:lang w:val="bg-BG"/>
        </w:rPr>
        <w:t>):</w:t>
      </w:r>
    </w:p>
    <w:p w:rsidR="0040439F" w:rsidRPr="006F5DCF" w:rsidRDefault="0040439F" w:rsidP="006F5DCF">
      <w:pPr>
        <w:ind w:firstLine="0"/>
        <w:rPr>
          <w:b/>
        </w:rPr>
      </w:pPr>
      <w:r>
        <w:rPr>
          <w:lang w:val="bg-BG"/>
        </w:rPr>
        <w:t>З</w:t>
      </w:r>
      <w:r>
        <w:t xml:space="preserve">а </w:t>
      </w:r>
      <w:proofErr w:type="spellStart"/>
      <w:r>
        <w:t>средствата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техническата</w:t>
      </w:r>
      <w:proofErr w:type="spellEnd"/>
      <w:r>
        <w:t xml:space="preserve"> </w:t>
      </w:r>
      <w:proofErr w:type="spellStart"/>
      <w:r>
        <w:t>сметка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БНБ в ЕЦБ</w:t>
      </w:r>
      <w:r>
        <w:rPr>
          <w:lang w:val="bg-BG"/>
        </w:rPr>
        <w:t xml:space="preserve"> (</w:t>
      </w:r>
      <w:r>
        <w:t>EUX</w:t>
      </w:r>
      <w:r>
        <w:rPr>
          <w:lang w:val="bg-BG"/>
        </w:rPr>
        <w:t>)</w:t>
      </w:r>
      <w:r>
        <w:t xml:space="preserve">, </w:t>
      </w:r>
      <w:r>
        <w:rPr>
          <w:lang w:val="bg-BG"/>
        </w:rPr>
        <w:t>ЕЦБ</w:t>
      </w:r>
      <w:r>
        <w:t xml:space="preserve">  </w:t>
      </w:r>
      <w:proofErr w:type="spellStart"/>
      <w:r>
        <w:t>начислява</w:t>
      </w:r>
      <w:proofErr w:type="spellEnd"/>
      <w:r>
        <w:t xml:space="preserve"> </w:t>
      </w:r>
      <w:proofErr w:type="spellStart"/>
      <w:r>
        <w:t>лихва</w:t>
      </w:r>
      <w:proofErr w:type="spellEnd"/>
      <w:r>
        <w:t xml:space="preserve">,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rPr>
          <w:lang w:eastAsia="en-GB"/>
        </w:rPr>
        <w:t>салдото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по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техническата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сметка</w:t>
      </w:r>
      <w:proofErr w:type="spellEnd"/>
      <w:r>
        <w:rPr>
          <w:lang w:eastAsia="en-GB"/>
        </w:rPr>
        <w:t xml:space="preserve"> в </w:t>
      </w:r>
      <w:proofErr w:type="spellStart"/>
      <w:r>
        <w:rPr>
          <w:lang w:eastAsia="en-GB"/>
        </w:rPr>
        <w:t>размер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до</w:t>
      </w:r>
      <w:proofErr w:type="spellEnd"/>
      <w:r>
        <w:rPr>
          <w:lang w:eastAsia="en-GB"/>
        </w:rPr>
        <w:t xml:space="preserve"> 10%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r>
        <w:rPr>
          <w:b/>
          <w:lang w:val="bg-BG"/>
        </w:rPr>
        <w:t>с</w:t>
      </w:r>
      <w:proofErr w:type="spellStart"/>
      <w:r w:rsidRPr="006F5DCF">
        <w:rPr>
          <w:b/>
        </w:rPr>
        <w:t>реднодневна</w:t>
      </w:r>
      <w:proofErr w:type="spellEnd"/>
      <w:r>
        <w:rPr>
          <w:b/>
          <w:lang w:val="bg-BG"/>
        </w:rPr>
        <w:t>та</w:t>
      </w:r>
      <w:r>
        <w:rPr>
          <w:b/>
        </w:rPr>
        <w:t xml:space="preserve"> </w:t>
      </w:r>
      <w:proofErr w:type="spellStart"/>
      <w:r>
        <w:rPr>
          <w:b/>
        </w:rPr>
        <w:t>стойност</w:t>
      </w:r>
      <w:proofErr w:type="spellEnd"/>
      <w:r>
        <w:rPr>
          <w:b/>
        </w:rPr>
        <w:t xml:space="preserve"> </w:t>
      </w:r>
      <w:proofErr w:type="spellStart"/>
      <w:r w:rsidRPr="006F5DCF">
        <w:rPr>
          <w:b/>
        </w:rPr>
        <w:t>на</w:t>
      </w:r>
      <w:proofErr w:type="spellEnd"/>
      <w:r w:rsidRPr="006F5DCF">
        <w:rPr>
          <w:b/>
        </w:rPr>
        <w:t xml:space="preserve"> </w:t>
      </w:r>
      <w:proofErr w:type="spellStart"/>
      <w:r w:rsidRPr="006F5DCF">
        <w:rPr>
          <w:b/>
        </w:rPr>
        <w:t>наредените</w:t>
      </w:r>
      <w:proofErr w:type="spellEnd"/>
      <w:r w:rsidRPr="006F5DCF">
        <w:rPr>
          <w:b/>
        </w:rPr>
        <w:t xml:space="preserve"> </w:t>
      </w:r>
      <w:proofErr w:type="spellStart"/>
      <w:r w:rsidRPr="006F5DCF">
        <w:rPr>
          <w:b/>
        </w:rPr>
        <w:t>плащания</w:t>
      </w:r>
      <w:proofErr w:type="spellEnd"/>
      <w:r w:rsidRPr="006F5DCF">
        <w:rPr>
          <w:b/>
        </w:rPr>
        <w:t xml:space="preserve"> </w:t>
      </w:r>
      <w:r>
        <w:rPr>
          <w:b/>
          <w:lang w:val="bg-BG"/>
        </w:rPr>
        <w:t xml:space="preserve">от </w:t>
      </w:r>
      <w:proofErr w:type="spellStart"/>
      <w:r w:rsidRPr="006F5DCF">
        <w:rPr>
          <w:b/>
        </w:rPr>
        <w:t>компонента</w:t>
      </w:r>
      <w:proofErr w:type="spellEnd"/>
      <w:r w:rsidRPr="006F5DCF">
        <w:rPr>
          <w:b/>
        </w:rPr>
        <w:t xml:space="preserve"> </w:t>
      </w:r>
      <w:r w:rsidRPr="006F5DCF">
        <w:rPr>
          <w:b/>
          <w:lang w:val="bg-BG"/>
        </w:rPr>
        <w:t xml:space="preserve">(праг </w:t>
      </w:r>
      <w:r>
        <w:rPr>
          <w:b/>
          <w:lang w:val="bg-BG"/>
        </w:rPr>
        <w:t>определян</w:t>
      </w:r>
      <w:r w:rsidRPr="006F5DCF">
        <w:rPr>
          <w:b/>
          <w:lang w:val="bg-BG"/>
        </w:rPr>
        <w:t xml:space="preserve"> годишно от ЕЦБ</w:t>
      </w:r>
      <w:r>
        <w:rPr>
          <w:lang w:val="bg-BG"/>
        </w:rPr>
        <w:t xml:space="preserve">)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олихвява</w:t>
      </w:r>
      <w:proofErr w:type="spellEnd"/>
      <w:r>
        <w:t xml:space="preserve"> с </w:t>
      </w:r>
      <w:proofErr w:type="spellStart"/>
      <w:r>
        <w:t>нулева</w:t>
      </w:r>
      <w:proofErr w:type="spellEnd"/>
      <w:r>
        <w:t xml:space="preserve"> </w:t>
      </w:r>
      <w:proofErr w:type="spellStart"/>
      <w:r>
        <w:t>лихва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лихвения</w:t>
      </w:r>
      <w:proofErr w:type="spellEnd"/>
      <w:r>
        <w:t xml:space="preserve"> </w:t>
      </w:r>
      <w:proofErr w:type="spellStart"/>
      <w:r>
        <w:t>процент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депозитното</w:t>
      </w:r>
      <w:proofErr w:type="spellEnd"/>
      <w:r>
        <w:t xml:space="preserve"> </w:t>
      </w:r>
      <w:proofErr w:type="spellStart"/>
      <w:r>
        <w:t>улеснение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Евросистемата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двете</w:t>
      </w:r>
      <w:proofErr w:type="spellEnd"/>
      <w:r>
        <w:t xml:space="preserve"> е </w:t>
      </w:r>
      <w:proofErr w:type="spellStart"/>
      <w:r>
        <w:t>по-ниско</w:t>
      </w:r>
      <w:proofErr w:type="spellEnd"/>
      <w:r>
        <w:rPr>
          <w:lang w:eastAsia="en-GB"/>
        </w:rPr>
        <w:t xml:space="preserve">, а </w:t>
      </w:r>
      <w:proofErr w:type="spellStart"/>
      <w:r>
        <w:rPr>
          <w:lang w:eastAsia="en-GB"/>
        </w:rPr>
        <w:t>частта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салдото</w:t>
      </w:r>
      <w:proofErr w:type="spellEnd"/>
      <w:r>
        <w:t xml:space="preserve">, </w:t>
      </w:r>
      <w:proofErr w:type="spellStart"/>
      <w:r>
        <w:t>надвишаваща</w:t>
      </w:r>
      <w:proofErr w:type="spellEnd"/>
      <w:r>
        <w:t xml:space="preserve"> 10%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среднодневния</w:t>
      </w:r>
      <w:proofErr w:type="spellEnd"/>
      <w:r>
        <w:t xml:space="preserve"> </w:t>
      </w:r>
      <w:proofErr w:type="spellStart"/>
      <w:r>
        <w:t>дебитен</w:t>
      </w:r>
      <w:proofErr w:type="spellEnd"/>
      <w:r>
        <w:t xml:space="preserve"> </w:t>
      </w:r>
      <w:proofErr w:type="spellStart"/>
      <w:r>
        <w:t>оборот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компонента</w:t>
      </w:r>
      <w:proofErr w:type="spellEnd"/>
      <w:r>
        <w:t xml:space="preserve">,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олихвява</w:t>
      </w:r>
      <w:proofErr w:type="spellEnd"/>
      <w:r>
        <w:t xml:space="preserve"> с </w:t>
      </w:r>
      <w:proofErr w:type="spellStart"/>
      <w:r>
        <w:t>нулева</w:t>
      </w:r>
      <w:proofErr w:type="spellEnd"/>
      <w:r>
        <w:t xml:space="preserve"> </w:t>
      </w:r>
      <w:proofErr w:type="spellStart"/>
      <w:r>
        <w:t>лихва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с </w:t>
      </w:r>
      <w:r w:rsidRPr="007A3533">
        <w:rPr>
          <w:lang w:val="ru-RU"/>
        </w:rPr>
        <w:t xml:space="preserve">размера на </w:t>
      </w:r>
      <w:proofErr w:type="spellStart"/>
      <w:r>
        <w:t>лихвения</w:t>
      </w:r>
      <w:proofErr w:type="spellEnd"/>
      <w:r>
        <w:t xml:space="preserve"> </w:t>
      </w:r>
      <w:proofErr w:type="spellStart"/>
      <w:r>
        <w:t>процент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депозитното</w:t>
      </w:r>
      <w:proofErr w:type="spellEnd"/>
      <w:r>
        <w:t xml:space="preserve"> </w:t>
      </w:r>
      <w:proofErr w:type="spellStart"/>
      <w:r>
        <w:t>улеснение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Евросистемата</w:t>
      </w:r>
      <w:proofErr w:type="spellEnd"/>
      <w:r>
        <w:t xml:space="preserve"> </w:t>
      </w:r>
      <w:proofErr w:type="spellStart"/>
      <w:r>
        <w:t>минус</w:t>
      </w:r>
      <w:proofErr w:type="spellEnd"/>
      <w:r>
        <w:t xml:space="preserve"> 25 </w:t>
      </w:r>
      <w:proofErr w:type="spellStart"/>
      <w:r>
        <w:t>базисни</w:t>
      </w:r>
      <w:proofErr w:type="spellEnd"/>
      <w:r>
        <w:t xml:space="preserve"> </w:t>
      </w:r>
      <w:proofErr w:type="spellStart"/>
      <w:r>
        <w:t>пункта</w:t>
      </w:r>
      <w:proofErr w:type="spellEnd"/>
      <w:r>
        <w:t xml:space="preserve">,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двете</w:t>
      </w:r>
      <w:proofErr w:type="spellEnd"/>
      <w:r>
        <w:t xml:space="preserve"> е </w:t>
      </w:r>
      <w:proofErr w:type="spellStart"/>
      <w:r>
        <w:t>по-ниско</w:t>
      </w:r>
      <w:proofErr w:type="spellEnd"/>
      <w:r>
        <w:t xml:space="preserve">. </w:t>
      </w:r>
      <w:proofErr w:type="spellStart"/>
      <w:r w:rsidRPr="007A3533">
        <w:rPr>
          <w:b/>
        </w:rPr>
        <w:t>Използваният</w:t>
      </w:r>
      <w:proofErr w:type="spellEnd"/>
      <w:r w:rsidRPr="007A3533">
        <w:rPr>
          <w:b/>
        </w:rPr>
        <w:t xml:space="preserve"> </w:t>
      </w:r>
      <w:proofErr w:type="spellStart"/>
      <w:r w:rsidRPr="007A3533">
        <w:rPr>
          <w:b/>
        </w:rPr>
        <w:t>при</w:t>
      </w:r>
      <w:proofErr w:type="spellEnd"/>
      <w:r w:rsidRPr="007A3533">
        <w:rPr>
          <w:b/>
        </w:rPr>
        <w:t xml:space="preserve"> </w:t>
      </w:r>
      <w:proofErr w:type="spellStart"/>
      <w:r w:rsidRPr="007A3533">
        <w:rPr>
          <w:b/>
        </w:rPr>
        <w:t>изчисленията</w:t>
      </w:r>
      <w:proofErr w:type="spellEnd"/>
      <w:r w:rsidRPr="007A3533">
        <w:rPr>
          <w:b/>
        </w:rPr>
        <w:t xml:space="preserve"> </w:t>
      </w:r>
      <w:proofErr w:type="spellStart"/>
      <w:r w:rsidRPr="007A3533">
        <w:rPr>
          <w:b/>
        </w:rPr>
        <w:t>праг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10% </w:t>
      </w:r>
      <w:proofErr w:type="spellStart"/>
      <w:r>
        <w:rPr>
          <w:lang w:eastAsia="en-GB"/>
        </w:rPr>
        <w:t>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среднодневния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дебитен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оборот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на</w:t>
      </w:r>
      <w:proofErr w:type="spellEnd"/>
      <w:r>
        <w:rPr>
          <w:lang w:eastAsia="en-GB"/>
        </w:rPr>
        <w:t xml:space="preserve"> </w:t>
      </w:r>
      <w:proofErr w:type="spellStart"/>
      <w:r>
        <w:rPr>
          <w:lang w:eastAsia="en-GB"/>
        </w:rPr>
        <w:t>компонента</w:t>
      </w:r>
      <w:proofErr w:type="spellEnd"/>
      <w:r>
        <w:rPr>
          <w:lang w:eastAsia="en-GB"/>
        </w:rP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изчислява</w:t>
      </w:r>
      <w:proofErr w:type="spellEnd"/>
      <w:r>
        <w:t xml:space="preserve"> </w:t>
      </w:r>
      <w:proofErr w:type="spellStart"/>
      <w:r>
        <w:t>ежегодно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ЕЦБ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база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информация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предходната</w:t>
      </w:r>
      <w:proofErr w:type="spellEnd"/>
      <w:r>
        <w:t xml:space="preserve"> </w:t>
      </w:r>
      <w:proofErr w:type="spellStart"/>
      <w:r>
        <w:t>календарна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прилага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1 </w:t>
      </w:r>
      <w:proofErr w:type="spellStart"/>
      <w:r>
        <w:t>април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текущата</w:t>
      </w:r>
      <w:proofErr w:type="spellEnd"/>
      <w:r>
        <w:t xml:space="preserve"> </w:t>
      </w:r>
      <w:proofErr w:type="spellStart"/>
      <w:r>
        <w:t>година</w:t>
      </w:r>
      <w:proofErr w:type="spellEnd"/>
      <w:r>
        <w:rPr>
          <w:lang w:val="bg-BG"/>
        </w:rPr>
        <w:t xml:space="preserve"> до 31 март на следващата година.</w:t>
      </w:r>
    </w:p>
    <w:p w:rsidR="0040439F" w:rsidRDefault="0040439F" w:rsidP="007A3533">
      <w:pPr>
        <w:ind w:firstLine="0"/>
      </w:pPr>
      <w:r>
        <w:rPr>
          <w:lang w:val="bg-BG"/>
        </w:rPr>
        <w:t xml:space="preserve">До 31 март 2018 прагът е в размер на </w:t>
      </w:r>
      <w:r w:rsidRPr="007A3533">
        <w:rPr>
          <w:lang w:val="bg-BG"/>
        </w:rPr>
        <w:t>134</w:t>
      </w:r>
      <w:r>
        <w:rPr>
          <w:lang w:val="bg-BG"/>
        </w:rPr>
        <w:t xml:space="preserve"> </w:t>
      </w:r>
      <w:r w:rsidRPr="007A3533">
        <w:rPr>
          <w:lang w:val="bg-BG"/>
        </w:rPr>
        <w:t>220</w:t>
      </w:r>
      <w:r>
        <w:rPr>
          <w:lang w:val="bg-BG"/>
        </w:rPr>
        <w:t xml:space="preserve"> </w:t>
      </w:r>
      <w:r w:rsidRPr="007A3533">
        <w:rPr>
          <w:lang w:val="bg-BG"/>
        </w:rPr>
        <w:t>000</w:t>
      </w:r>
      <w:r>
        <w:rPr>
          <w:lang w:val="bg-BG"/>
        </w:rPr>
        <w:t xml:space="preserve"> евро</w:t>
      </w:r>
      <w:r>
        <w:t>. </w:t>
      </w:r>
    </w:p>
    <w:p w:rsidR="0040439F" w:rsidRPr="000E7AC3" w:rsidRDefault="0040439F" w:rsidP="007A3533">
      <w:pPr>
        <w:ind w:firstLine="0"/>
        <w:rPr>
          <w:lang w:val="bg-BG"/>
        </w:rPr>
      </w:pPr>
      <w:r w:rsidRPr="000E7AC3">
        <w:rPr>
          <w:lang w:val="bg-BG"/>
        </w:rPr>
        <w:t>Трябва да има възможност БНБ ръчно да въве</w:t>
      </w:r>
      <w:r>
        <w:rPr>
          <w:lang w:val="bg-BG"/>
        </w:rPr>
        <w:t>де</w:t>
      </w:r>
      <w:r w:rsidRPr="000E7AC3">
        <w:rPr>
          <w:lang w:val="bg-BG"/>
        </w:rPr>
        <w:t xml:space="preserve"> с</w:t>
      </w:r>
      <w:proofErr w:type="spellStart"/>
      <w:r w:rsidRPr="000E7AC3">
        <w:t>реднодневна</w:t>
      </w:r>
      <w:proofErr w:type="spellEnd"/>
      <w:r w:rsidRPr="000E7AC3">
        <w:rPr>
          <w:lang w:val="bg-BG"/>
        </w:rPr>
        <w:t>та</w:t>
      </w:r>
      <w:r w:rsidRPr="000E7AC3">
        <w:t xml:space="preserve"> </w:t>
      </w:r>
      <w:proofErr w:type="spellStart"/>
      <w:r w:rsidRPr="000E7AC3">
        <w:t>стойност</w:t>
      </w:r>
      <w:proofErr w:type="spellEnd"/>
      <w:r w:rsidRPr="000E7AC3">
        <w:t xml:space="preserve"> </w:t>
      </w:r>
      <w:proofErr w:type="spellStart"/>
      <w:r w:rsidRPr="000E7AC3">
        <w:t>на</w:t>
      </w:r>
      <w:proofErr w:type="spellEnd"/>
      <w:r w:rsidRPr="000E7AC3">
        <w:t xml:space="preserve"> </w:t>
      </w:r>
      <w:proofErr w:type="spellStart"/>
      <w:r w:rsidRPr="000E7AC3">
        <w:t>наредените</w:t>
      </w:r>
      <w:proofErr w:type="spellEnd"/>
      <w:r w:rsidRPr="000E7AC3">
        <w:t xml:space="preserve"> </w:t>
      </w:r>
      <w:proofErr w:type="spellStart"/>
      <w:r w:rsidRPr="000E7AC3">
        <w:t>плащания</w:t>
      </w:r>
      <w:proofErr w:type="spellEnd"/>
      <w:r>
        <w:rPr>
          <w:lang w:val="bg-BG"/>
        </w:rPr>
        <w:t xml:space="preserve"> и да го променя само при промяна от страна на ЕЦБ</w:t>
      </w:r>
      <w:r w:rsidRPr="000E7AC3">
        <w:rPr>
          <w:lang w:val="bg-BG"/>
        </w:rPr>
        <w:t>.</w:t>
      </w:r>
    </w:p>
    <w:sectPr w:rsidR="0040439F" w:rsidRPr="000E7AC3" w:rsidSect="005B07F5">
      <w:pgSz w:w="8420" w:h="11907" w:orient="landscape" w:code="9"/>
      <w:pgMar w:top="567" w:right="720" w:bottom="624" w:left="720" w:header="567" w:footer="624" w:gutter="0"/>
      <w:cols w:space="708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7E5259"/>
    <w:multiLevelType w:val="hybridMultilevel"/>
    <w:tmpl w:val="C8EA33EE"/>
    <w:lvl w:ilvl="0" w:tplc="71E03C4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printTwoOnOn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A2C"/>
    <w:rsid w:val="000058DC"/>
    <w:rsid w:val="000E5CD0"/>
    <w:rsid w:val="000E7AC3"/>
    <w:rsid w:val="00134956"/>
    <w:rsid w:val="001C1C24"/>
    <w:rsid w:val="001F55C6"/>
    <w:rsid w:val="00235BA4"/>
    <w:rsid w:val="0026444F"/>
    <w:rsid w:val="00287E49"/>
    <w:rsid w:val="002B195D"/>
    <w:rsid w:val="0030187B"/>
    <w:rsid w:val="003702AF"/>
    <w:rsid w:val="0040439F"/>
    <w:rsid w:val="00433E0C"/>
    <w:rsid w:val="00485CAC"/>
    <w:rsid w:val="004D5E40"/>
    <w:rsid w:val="00541FCE"/>
    <w:rsid w:val="00542028"/>
    <w:rsid w:val="00566A9E"/>
    <w:rsid w:val="005862E3"/>
    <w:rsid w:val="00592C7F"/>
    <w:rsid w:val="005B07F5"/>
    <w:rsid w:val="00616CD4"/>
    <w:rsid w:val="006F094C"/>
    <w:rsid w:val="006F5DCF"/>
    <w:rsid w:val="007A3533"/>
    <w:rsid w:val="007C6BA0"/>
    <w:rsid w:val="007D06BD"/>
    <w:rsid w:val="00971CFF"/>
    <w:rsid w:val="00B20A2C"/>
    <w:rsid w:val="00B20A9D"/>
    <w:rsid w:val="00BE0760"/>
    <w:rsid w:val="00CC59CF"/>
    <w:rsid w:val="00D55530"/>
    <w:rsid w:val="00E100B7"/>
    <w:rsid w:val="00E14AC9"/>
    <w:rsid w:val="00E44DFB"/>
    <w:rsid w:val="00EF71B8"/>
    <w:rsid w:val="00F47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6C87FCD8-FD2B-4CF2-8E3C-F342F8DF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0A2C"/>
    <w:pPr>
      <w:suppressAutoHyphens/>
      <w:spacing w:before="120" w:line="360" w:lineRule="auto"/>
      <w:ind w:firstLine="720"/>
      <w:jc w:val="both"/>
    </w:pPr>
    <w:rPr>
      <w:rFonts w:ascii="Times New Roman" w:eastAsia="Times New Roman" w:hAnsi="Times New Roman"/>
      <w:sz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44D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986</Words>
  <Characters>5626</Characters>
  <Application>Microsoft Office Word</Application>
  <DocSecurity>0</DocSecurity>
  <Lines>46</Lines>
  <Paragraphs>13</Paragraphs>
  <ScaleCrop>false</ScaleCrop>
  <Company>BNB</Company>
  <LinksUpToDate>false</LinksUpToDate>
  <CharactersWithSpaces>6599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 Конов</dc:creator>
  <cp:keywords/>
  <dc:description/>
  <cp:lastModifiedBy>Станислава Стойнева</cp:lastModifiedBy>
  <cp:revision>13</cp:revision>
  <dcterms:created xsi:type="dcterms:W3CDTF">2017-09-29T12:09:00Z</dcterms:created>
  <dcterms:modified xsi:type="dcterms:W3CDTF">2018-02-23T13:30:00Z</dcterms:modified>
</cp:coreProperties>
</file>