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07" w:rsidRDefault="00C45107" w:rsidP="00C45107">
      <w:pPr>
        <w:shd w:val="clear" w:color="auto" w:fill="FFFFFF"/>
        <w:tabs>
          <w:tab w:val="left" w:pos="1080"/>
        </w:tabs>
        <w:spacing w:line="360" w:lineRule="auto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Обособена позиция № 1</w:t>
      </w:r>
    </w:p>
    <w:p w:rsidR="007464CD" w:rsidRPr="00F12AAB" w:rsidRDefault="007464CD" w:rsidP="00033567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color w:val="000000"/>
          <w:sz w:val="24"/>
          <w:lang w:val="en-US"/>
        </w:rPr>
      </w:pPr>
      <w:r w:rsidRPr="00F12AAB">
        <w:rPr>
          <w:b/>
          <w:color w:val="000000"/>
          <w:sz w:val="24"/>
        </w:rPr>
        <w:t>МЕТОДИКА ЗА ОПРЕДЕЛЯНЕ НА</w:t>
      </w:r>
      <w:r w:rsidRPr="009E74EA">
        <w:rPr>
          <w:b/>
          <w:sz w:val="24"/>
        </w:rPr>
        <w:t xml:space="preserve"> </w:t>
      </w:r>
      <w:r w:rsidRPr="00F12AAB">
        <w:rPr>
          <w:b/>
          <w:color w:val="000000"/>
          <w:sz w:val="24"/>
        </w:rPr>
        <w:t>КОМПЛЕКСНАТА ОЦЕНКА</w:t>
      </w:r>
    </w:p>
    <w:p w:rsidR="007464CD" w:rsidRPr="00F12AAB" w:rsidRDefault="007464CD" w:rsidP="00033567">
      <w:pPr>
        <w:shd w:val="clear" w:color="auto" w:fill="FFFFFF"/>
        <w:tabs>
          <w:tab w:val="left" w:pos="709"/>
          <w:tab w:val="left" w:pos="1080"/>
        </w:tabs>
        <w:spacing w:line="360" w:lineRule="auto"/>
        <w:jc w:val="center"/>
        <w:rPr>
          <w:b/>
          <w:color w:val="000000"/>
          <w:sz w:val="24"/>
          <w:lang w:val="en-US"/>
        </w:rPr>
      </w:pPr>
      <w:r w:rsidRPr="00F12AAB">
        <w:rPr>
          <w:b/>
          <w:color w:val="000000"/>
          <w:sz w:val="24"/>
        </w:rPr>
        <w:t>ЗА КЛАСИРАНЕ НА ОФЕРТИТЕ</w:t>
      </w:r>
      <w:r w:rsidR="006878B4">
        <w:rPr>
          <w:b/>
          <w:color w:val="000000"/>
          <w:sz w:val="24"/>
        </w:rPr>
        <w:t xml:space="preserve"> ПО ОБОСОБЕНА ПОЗИЦИЯ № 1</w:t>
      </w:r>
    </w:p>
    <w:p w:rsidR="007464CD" w:rsidRPr="009E74EA" w:rsidRDefault="007464CD" w:rsidP="00033567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sz w:val="24"/>
          <w:lang w:val="en-US"/>
        </w:rPr>
      </w:pP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color w:val="000000"/>
          <w:sz w:val="24"/>
        </w:rPr>
      </w:pPr>
      <w:r w:rsidRPr="009E74EA">
        <w:rPr>
          <w:color w:val="000000"/>
          <w:sz w:val="24"/>
        </w:rPr>
        <w:t>Всички оферти, които отговарят на обявените от възложителя условия</w:t>
      </w:r>
      <w:r w:rsidRPr="009E74EA">
        <w:rPr>
          <w:color w:val="000000"/>
          <w:sz w:val="24"/>
          <w:lang w:val="ru-RU"/>
        </w:rPr>
        <w:t>,</w:t>
      </w:r>
      <w:r w:rsidRPr="009E74EA">
        <w:rPr>
          <w:color w:val="000000"/>
          <w:sz w:val="24"/>
        </w:rPr>
        <w:t xml:space="preserve"> ще бъдат оценявани по критерия “</w:t>
      </w:r>
      <w:r w:rsidR="001934EE">
        <w:rPr>
          <w:color w:val="000000"/>
          <w:sz w:val="24"/>
        </w:rPr>
        <w:t>о</w:t>
      </w:r>
      <w:r w:rsidR="006878B4">
        <w:rPr>
          <w:color w:val="000000"/>
          <w:sz w:val="24"/>
        </w:rPr>
        <w:t>птимално съотношение качество/цена</w:t>
      </w:r>
      <w:r w:rsidRPr="009E74EA">
        <w:rPr>
          <w:color w:val="000000"/>
          <w:sz w:val="24"/>
        </w:rPr>
        <w:t>”</w:t>
      </w:r>
      <w:r w:rsidRPr="009E74EA">
        <w:rPr>
          <w:color w:val="000000"/>
          <w:sz w:val="24"/>
          <w:lang w:val="ru-RU"/>
        </w:rPr>
        <w:t>,</w:t>
      </w:r>
      <w:r w:rsidRPr="009E74EA">
        <w:rPr>
          <w:color w:val="000000"/>
          <w:sz w:val="24"/>
        </w:rPr>
        <w:t xml:space="preserve"> при следните показатели за определяне на комплексната оценка:</w:t>
      </w: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color w:val="000000"/>
          <w:sz w:val="24"/>
          <w:lang w:val="ru-RU"/>
        </w:rPr>
      </w:pP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b/>
          <w:bCs/>
          <w:sz w:val="24"/>
        </w:rPr>
      </w:pPr>
      <w:r w:rsidRPr="009E74EA">
        <w:rPr>
          <w:b/>
          <w:bCs/>
          <w:sz w:val="24"/>
        </w:rPr>
        <w:t>1. Общ</w:t>
      </w:r>
      <w:r w:rsidR="00F4522E">
        <w:rPr>
          <w:b/>
          <w:bCs/>
          <w:sz w:val="24"/>
        </w:rPr>
        <w:t>а сума</w:t>
      </w:r>
      <w:r w:rsidRPr="009E74EA">
        <w:rPr>
          <w:b/>
          <w:bCs/>
          <w:sz w:val="24"/>
        </w:rPr>
        <w:t xml:space="preserve"> на годишна застрахователната премия</w:t>
      </w:r>
      <w:r w:rsidRPr="009E74EA">
        <w:rPr>
          <w:sz w:val="24"/>
          <w:szCs w:val="24"/>
        </w:rPr>
        <w:t xml:space="preserve"> </w:t>
      </w:r>
      <w:r w:rsidRPr="009E74EA">
        <w:rPr>
          <w:b/>
          <w:sz w:val="24"/>
          <w:szCs w:val="24"/>
        </w:rPr>
        <w:t>с включен данък върху застрахователната премия</w:t>
      </w:r>
      <w:r w:rsidRPr="009E74EA">
        <w:rPr>
          <w:b/>
          <w:bCs/>
          <w:sz w:val="24"/>
        </w:rPr>
        <w:t>, платима от БНБ (П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) – теглови коефициент</w:t>
      </w:r>
      <w:r w:rsidRPr="009E74EA">
        <w:rPr>
          <w:bCs/>
          <w:sz w:val="24"/>
        </w:rPr>
        <w:t xml:space="preserve"> 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 xml:space="preserve"> </w:t>
      </w:r>
      <w:r w:rsidRPr="009E74EA">
        <w:rPr>
          <w:b/>
          <w:bCs/>
          <w:sz w:val="24"/>
        </w:rPr>
        <w:t>– 70 точки</w:t>
      </w:r>
      <w:r w:rsidR="006878B4">
        <w:rPr>
          <w:b/>
          <w:bCs/>
          <w:sz w:val="24"/>
        </w:rPr>
        <w:t>.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sz w:val="24"/>
        </w:rPr>
        <w:t xml:space="preserve">Числов израз на оценката по този показател са точките, които се изчисляват по следната формула –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 xml:space="preserve"> = К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хТ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>, където: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bCs/>
          <w:sz w:val="24"/>
        </w:rPr>
      </w:pPr>
      <w:r w:rsidRPr="009E74EA">
        <w:rPr>
          <w:b/>
          <w:bCs/>
          <w:sz w:val="24"/>
        </w:rPr>
        <w:t>К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 xml:space="preserve"> = </w:t>
      </w:r>
      <w:proofErr w:type="spellStart"/>
      <w:r w:rsidRPr="009E74EA">
        <w:rPr>
          <w:sz w:val="24"/>
        </w:rPr>
        <w:t>Cmin</w:t>
      </w:r>
      <w:proofErr w:type="spellEnd"/>
      <w:r w:rsidRPr="009E74EA">
        <w:rPr>
          <w:sz w:val="24"/>
        </w:rPr>
        <w:t>/Co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proofErr w:type="spellStart"/>
      <w:r w:rsidRPr="009E74EA">
        <w:rPr>
          <w:b/>
          <w:sz w:val="24"/>
        </w:rPr>
        <w:t>Cmin</w:t>
      </w:r>
      <w:proofErr w:type="spellEnd"/>
      <w:r w:rsidRPr="009E74EA">
        <w:rPr>
          <w:sz w:val="24"/>
        </w:rPr>
        <w:t xml:space="preserve"> – най-ниската предложена годишна застрахователна премия </w:t>
      </w:r>
      <w:r w:rsidRPr="009E74EA">
        <w:rPr>
          <w:sz w:val="24"/>
          <w:szCs w:val="24"/>
        </w:rPr>
        <w:t>с включен данък върху застрахователната премия</w:t>
      </w:r>
      <w:r w:rsidRPr="009E74EA">
        <w:rPr>
          <w:sz w:val="24"/>
        </w:rPr>
        <w:t xml:space="preserve"> в офертите на участниците;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proofErr w:type="spellStart"/>
      <w:r w:rsidRPr="009E74EA">
        <w:rPr>
          <w:b/>
          <w:sz w:val="24"/>
        </w:rPr>
        <w:t>Со</w:t>
      </w:r>
      <w:proofErr w:type="spellEnd"/>
      <w:r w:rsidRPr="009E74EA">
        <w:rPr>
          <w:b/>
          <w:sz w:val="24"/>
        </w:rPr>
        <w:t xml:space="preserve"> </w:t>
      </w:r>
      <w:r w:rsidRPr="009E74EA">
        <w:rPr>
          <w:sz w:val="24"/>
        </w:rPr>
        <w:t>– предложена годишна застрахователна премия</w:t>
      </w:r>
      <w:r w:rsidRPr="001430C9">
        <w:rPr>
          <w:sz w:val="24"/>
          <w:lang w:val="ru-RU"/>
        </w:rPr>
        <w:t>,</w:t>
      </w:r>
      <w:r w:rsidRPr="009E74EA">
        <w:rPr>
          <w:sz w:val="24"/>
        </w:rPr>
        <w:t xml:space="preserve"> </w:t>
      </w:r>
      <w:r w:rsidRPr="009E74EA">
        <w:rPr>
          <w:sz w:val="24"/>
          <w:szCs w:val="24"/>
        </w:rPr>
        <w:t>с включен данък върху застрахователната премия</w:t>
      </w:r>
      <w:r w:rsidRPr="009E74EA">
        <w:rPr>
          <w:sz w:val="24"/>
        </w:rPr>
        <w:t xml:space="preserve"> на оценяваната оферта;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>Т</w:t>
      </w:r>
      <w:r w:rsidRPr="009E74EA">
        <w:rPr>
          <w:sz w:val="24"/>
        </w:rPr>
        <w:t xml:space="preserve"> – теглови коефициент на показателя – 70 т.;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  <w:lang w:val="en-US"/>
        </w:rPr>
      </w:pPr>
      <w:r w:rsidRPr="009E74EA">
        <w:rPr>
          <w:sz w:val="24"/>
        </w:rPr>
        <w:t xml:space="preserve">* Годишната застрахователна премия включва застрахователните премии за всички обекти на БНБ. 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>П</w:t>
      </w:r>
      <w:r w:rsidRPr="009E74EA">
        <w:rPr>
          <w:b/>
          <w:sz w:val="24"/>
          <w:vertAlign w:val="subscript"/>
        </w:rPr>
        <w:t xml:space="preserve">1 </w:t>
      </w:r>
      <w:r w:rsidRPr="009E74EA">
        <w:rPr>
          <w:sz w:val="24"/>
        </w:rPr>
        <w:t>– се закръглява до втория знак след десетичната запетая.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</w:rPr>
      </w:pPr>
    </w:p>
    <w:p w:rsidR="007464CD" w:rsidRPr="009E74EA" w:rsidRDefault="007464CD" w:rsidP="00033567">
      <w:pPr>
        <w:shd w:val="clear" w:color="auto" w:fill="FFFFFF"/>
        <w:spacing w:line="360" w:lineRule="auto"/>
        <w:ind w:firstLine="720"/>
        <w:jc w:val="both"/>
        <w:rPr>
          <w:b/>
          <w:bCs/>
          <w:sz w:val="24"/>
        </w:rPr>
      </w:pPr>
      <w:r w:rsidRPr="009E74EA">
        <w:rPr>
          <w:b/>
          <w:sz w:val="24"/>
          <w:szCs w:val="24"/>
        </w:rPr>
        <w:t>2.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</w:t>
      </w:r>
      <w:r w:rsidRPr="007625C9">
        <w:rPr>
          <w:b/>
          <w:sz w:val="24"/>
          <w:szCs w:val="24"/>
          <w:lang w:val="ru-RU"/>
        </w:rPr>
        <w:t xml:space="preserve">, </w:t>
      </w:r>
      <w:r w:rsidRPr="007625C9">
        <w:rPr>
          <w:b/>
          <w:sz w:val="24"/>
          <w:szCs w:val="24"/>
        </w:rPr>
        <w:t>платими на застрахования като бонус, изразен в процент от постъпилите застрахователн</w:t>
      </w:r>
      <w:r w:rsidRPr="007E0CC6">
        <w:rPr>
          <w:b/>
          <w:sz w:val="24"/>
          <w:szCs w:val="24"/>
        </w:rPr>
        <w:t>и премии</w:t>
      </w:r>
      <w:r w:rsidRPr="007E0CC6">
        <w:rPr>
          <w:sz w:val="24"/>
          <w:szCs w:val="24"/>
        </w:rPr>
        <w:t xml:space="preserve"> (</w:t>
      </w:r>
      <w:r w:rsidRPr="009E74EA">
        <w:rPr>
          <w:b/>
          <w:sz w:val="24"/>
          <w:szCs w:val="24"/>
        </w:rPr>
        <w:t>П</w:t>
      </w:r>
      <w:r w:rsidRPr="009E74EA">
        <w:rPr>
          <w:b/>
          <w:bCs/>
          <w:sz w:val="24"/>
          <w:vertAlign w:val="subscript"/>
        </w:rPr>
        <w:t>2</w:t>
      </w:r>
      <w:r w:rsidRPr="009E74EA">
        <w:rPr>
          <w:b/>
          <w:bCs/>
          <w:sz w:val="24"/>
        </w:rPr>
        <w:t>)</w:t>
      </w:r>
      <w:r w:rsidRPr="009E74EA">
        <w:rPr>
          <w:b/>
          <w:bCs/>
          <w:sz w:val="24"/>
          <w:vertAlign w:val="subscript"/>
        </w:rPr>
        <w:t xml:space="preserve"> </w:t>
      </w:r>
      <w:r w:rsidRPr="009E74EA">
        <w:rPr>
          <w:b/>
          <w:bCs/>
          <w:sz w:val="24"/>
        </w:rPr>
        <w:t>–</w:t>
      </w:r>
      <w:r w:rsidRPr="007B4049">
        <w:rPr>
          <w:b/>
          <w:sz w:val="24"/>
          <w:lang w:val="ru-RU"/>
        </w:rPr>
        <w:t xml:space="preserve"> </w:t>
      </w:r>
      <w:r w:rsidRPr="009E74EA">
        <w:rPr>
          <w:b/>
          <w:bCs/>
          <w:sz w:val="24"/>
        </w:rPr>
        <w:t>теглови коефициент</w:t>
      </w:r>
      <w:r w:rsidRPr="009E74EA">
        <w:rPr>
          <w:bCs/>
          <w:sz w:val="24"/>
        </w:rPr>
        <w:t xml:space="preserve"> </w:t>
      </w:r>
      <w:r w:rsidRPr="009E74EA">
        <w:rPr>
          <w:b/>
          <w:bCs/>
          <w:sz w:val="24"/>
        </w:rPr>
        <w:t>(Т</w:t>
      </w:r>
      <w:r w:rsidRPr="009E74EA">
        <w:rPr>
          <w:b/>
          <w:bCs/>
          <w:sz w:val="24"/>
          <w:vertAlign w:val="subscript"/>
        </w:rPr>
        <w:t>2</w:t>
      </w:r>
      <w:r w:rsidRPr="009E74EA">
        <w:rPr>
          <w:b/>
          <w:bCs/>
          <w:sz w:val="24"/>
        </w:rPr>
        <w:t>) – 30 точки.</w:t>
      </w:r>
    </w:p>
    <w:p w:rsidR="007464CD" w:rsidRPr="009E74EA" w:rsidRDefault="007464CD" w:rsidP="00033567">
      <w:pPr>
        <w:tabs>
          <w:tab w:val="left" w:pos="720"/>
        </w:tabs>
        <w:spacing w:line="360" w:lineRule="auto"/>
        <w:ind w:firstLine="709"/>
        <w:jc w:val="both"/>
        <w:rPr>
          <w:bCs/>
          <w:sz w:val="24"/>
        </w:rPr>
      </w:pPr>
      <w:r w:rsidRPr="009E74EA">
        <w:rPr>
          <w:bCs/>
          <w:sz w:val="24"/>
        </w:rPr>
        <w:t>Точките по този показател се образуват като сбор от точките на следните подпоказатели</w:t>
      </w:r>
      <w:bookmarkStart w:id="0" w:name="_GoBack"/>
      <w:bookmarkEnd w:id="0"/>
      <w:r w:rsidRPr="009E74EA">
        <w:rPr>
          <w:bCs/>
          <w:sz w:val="24"/>
        </w:rPr>
        <w:t>:</w:t>
      </w:r>
    </w:p>
    <w:p w:rsidR="007464CD" w:rsidRPr="009E74EA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50%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sz w:val="24"/>
        </w:rPr>
        <w:t xml:space="preserve">) - теглови коефициент </w:t>
      </w:r>
      <w:r w:rsidRPr="009E74EA">
        <w:rPr>
          <w:bCs/>
          <w:sz w:val="24"/>
        </w:rPr>
        <w:t>(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bCs/>
          <w:sz w:val="24"/>
        </w:rPr>
        <w:t>)</w:t>
      </w:r>
      <w:r w:rsidRPr="009E74EA">
        <w:rPr>
          <w:sz w:val="24"/>
        </w:rPr>
        <w:t xml:space="preserve"> – </w:t>
      </w:r>
      <w:r w:rsidRPr="009E74EA">
        <w:rPr>
          <w:b/>
          <w:sz w:val="24"/>
        </w:rPr>
        <w:t>11т.;</w:t>
      </w:r>
    </w:p>
    <w:p w:rsidR="007464CD" w:rsidRPr="009E74EA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60%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sz w:val="24"/>
        </w:rPr>
        <w:t xml:space="preserve">) - теглови коефициент </w:t>
      </w:r>
      <w:r w:rsidRPr="009E74EA">
        <w:rPr>
          <w:bCs/>
          <w:sz w:val="24"/>
        </w:rPr>
        <w:t>(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bCs/>
          <w:sz w:val="24"/>
        </w:rPr>
        <w:t>)</w:t>
      </w:r>
      <w:r w:rsidRPr="009E74EA">
        <w:rPr>
          <w:sz w:val="24"/>
        </w:rPr>
        <w:t xml:space="preserve"> – </w:t>
      </w:r>
      <w:r w:rsidRPr="009E74EA">
        <w:rPr>
          <w:b/>
          <w:sz w:val="24"/>
        </w:rPr>
        <w:t>9т.;</w:t>
      </w:r>
    </w:p>
    <w:p w:rsidR="007464CD" w:rsidRPr="00F12AAB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70% (</w:t>
      </w:r>
      <w:r w:rsidRPr="009E74EA">
        <w:rPr>
          <w:b/>
          <w:bCs/>
          <w:sz w:val="24"/>
        </w:rPr>
        <w:t>П</w:t>
      </w:r>
      <w:r w:rsidRPr="007625C9">
        <w:rPr>
          <w:b/>
          <w:bCs/>
          <w:sz w:val="24"/>
          <w:vertAlign w:val="subscript"/>
        </w:rPr>
        <w:t>2.3</w:t>
      </w:r>
      <w:r w:rsidRPr="007625C9">
        <w:rPr>
          <w:sz w:val="24"/>
        </w:rPr>
        <w:t xml:space="preserve">) - теглови коефициент </w:t>
      </w:r>
      <w:r w:rsidRPr="007E0CC6">
        <w:rPr>
          <w:bCs/>
          <w:sz w:val="24"/>
        </w:rPr>
        <w:t>(</w:t>
      </w:r>
      <w:r w:rsidRPr="007E0CC6">
        <w:rPr>
          <w:b/>
          <w:bCs/>
          <w:sz w:val="24"/>
        </w:rPr>
        <w:t>Т</w:t>
      </w:r>
      <w:r w:rsidRPr="007E0CC6">
        <w:rPr>
          <w:b/>
          <w:bCs/>
          <w:sz w:val="24"/>
          <w:vertAlign w:val="subscript"/>
        </w:rPr>
        <w:t>2.3</w:t>
      </w:r>
      <w:r w:rsidRPr="00F12AAB">
        <w:rPr>
          <w:bCs/>
          <w:sz w:val="24"/>
        </w:rPr>
        <w:t>)</w:t>
      </w:r>
      <w:r w:rsidRPr="00F12AAB">
        <w:rPr>
          <w:sz w:val="24"/>
        </w:rPr>
        <w:t xml:space="preserve"> – </w:t>
      </w:r>
      <w:r w:rsidRPr="00F12AAB">
        <w:rPr>
          <w:b/>
          <w:sz w:val="24"/>
        </w:rPr>
        <w:t>6т.;</w:t>
      </w:r>
    </w:p>
    <w:p w:rsidR="007464CD" w:rsidRPr="00F12AAB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F12AAB">
        <w:rPr>
          <w:bCs/>
          <w:sz w:val="24"/>
        </w:rPr>
        <w:t>- квота на щетата</w:t>
      </w:r>
      <w:r w:rsidRPr="00F12AAB">
        <w:rPr>
          <w:sz w:val="24"/>
        </w:rPr>
        <w:t xml:space="preserve"> под 80% (</w:t>
      </w:r>
      <w:r w:rsidRPr="00F12AAB">
        <w:rPr>
          <w:b/>
          <w:bCs/>
          <w:sz w:val="24"/>
        </w:rPr>
        <w:t>П</w:t>
      </w:r>
      <w:r w:rsidRPr="00F12AAB">
        <w:rPr>
          <w:b/>
          <w:bCs/>
          <w:sz w:val="24"/>
          <w:vertAlign w:val="subscript"/>
        </w:rPr>
        <w:t>2.4</w:t>
      </w:r>
      <w:r w:rsidRPr="00F12AAB">
        <w:rPr>
          <w:sz w:val="24"/>
        </w:rPr>
        <w:t xml:space="preserve">) - теглови коефициент </w:t>
      </w:r>
      <w:r w:rsidRPr="00F12AAB">
        <w:rPr>
          <w:bCs/>
          <w:sz w:val="24"/>
        </w:rPr>
        <w:t>(</w:t>
      </w:r>
      <w:r w:rsidRPr="00F12AAB">
        <w:rPr>
          <w:b/>
          <w:bCs/>
          <w:sz w:val="24"/>
        </w:rPr>
        <w:t>Т</w:t>
      </w:r>
      <w:r w:rsidRPr="00F12AAB">
        <w:rPr>
          <w:b/>
          <w:bCs/>
          <w:sz w:val="24"/>
          <w:vertAlign w:val="subscript"/>
        </w:rPr>
        <w:t>2.4</w:t>
      </w:r>
      <w:r w:rsidRPr="00F12AAB">
        <w:rPr>
          <w:bCs/>
          <w:sz w:val="24"/>
        </w:rPr>
        <w:t>)</w:t>
      </w:r>
      <w:r w:rsidRPr="00F12AAB">
        <w:rPr>
          <w:sz w:val="24"/>
        </w:rPr>
        <w:t xml:space="preserve"> – </w:t>
      </w:r>
      <w:r w:rsidRPr="00F12AAB">
        <w:rPr>
          <w:b/>
          <w:sz w:val="24"/>
        </w:rPr>
        <w:t>4т.;</w:t>
      </w:r>
    </w:p>
    <w:p w:rsidR="007464CD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033567" w:rsidRPr="00033567" w:rsidRDefault="00033567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sz w:val="24"/>
        </w:rPr>
        <w:t>Подпоказателите се изчисляват по формула, както следва:</w:t>
      </w:r>
    </w:p>
    <w:p w:rsidR="007464CD" w:rsidRPr="00360939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2.1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 xml:space="preserve">предложен от участника бонус в % 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2.1</w:t>
      </w:r>
    </w:p>
    <w:p w:rsidR="007464CD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A51316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7464CD" w:rsidRPr="007E0CC6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2.2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7625C9">
        <w:rPr>
          <w:bCs/>
          <w:sz w:val="24"/>
        </w:rPr>
        <w:t>х Т</w:t>
      </w:r>
      <w:r w:rsidRPr="007625C9">
        <w:rPr>
          <w:bCs/>
          <w:sz w:val="24"/>
          <w:vertAlign w:val="subscript"/>
        </w:rPr>
        <w:t>2.2</w:t>
      </w:r>
    </w:p>
    <w:p w:rsidR="007464CD" w:rsidRPr="00F12AAB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u w:val="single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F12AAB">
        <w:rPr>
          <w:sz w:val="24"/>
        </w:rPr>
        <w:t>максимален размер бонус в %</w:t>
      </w:r>
    </w:p>
    <w:p w:rsidR="007464CD" w:rsidRPr="00360939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2.3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2.3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u w:val="single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2.4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2.4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9E74EA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sz w:val="24"/>
        </w:rPr>
      </w:pPr>
    </w:p>
    <w:p w:rsidR="007464CD" w:rsidRPr="007625C9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4"/>
          <w:vertAlign w:val="subscript"/>
          <w:lang w:val="en-US"/>
        </w:rPr>
      </w:pPr>
      <w:r w:rsidRPr="009E74EA">
        <w:rPr>
          <w:sz w:val="24"/>
        </w:rPr>
        <w:t>Сборът от точките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sz w:val="24"/>
        </w:rPr>
        <w:t xml:space="preserve"> +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sz w:val="24"/>
        </w:rPr>
        <w:t xml:space="preserve"> +</w:t>
      </w:r>
      <w:r w:rsidRPr="009E74EA">
        <w:rPr>
          <w:b/>
          <w:bCs/>
          <w:sz w:val="24"/>
        </w:rPr>
        <w:t xml:space="preserve"> П</w:t>
      </w:r>
      <w:r w:rsidRPr="009E74EA">
        <w:rPr>
          <w:b/>
          <w:bCs/>
          <w:sz w:val="24"/>
          <w:vertAlign w:val="subscript"/>
        </w:rPr>
        <w:t>2.3</w:t>
      </w:r>
      <w:r w:rsidRPr="009E74EA">
        <w:rPr>
          <w:sz w:val="24"/>
        </w:rPr>
        <w:t xml:space="preserve"> +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2.4</w:t>
      </w:r>
      <w:r w:rsidRPr="009E74EA">
        <w:rPr>
          <w:sz w:val="24"/>
        </w:rPr>
        <w:t xml:space="preserve">), дава стойността на показателя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</w:t>
      </w:r>
    </w:p>
    <w:p w:rsidR="007464CD" w:rsidRPr="00360939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4"/>
          <w:szCs w:val="24"/>
          <w:vertAlign w:val="subscript"/>
          <w:lang w:val="en-US"/>
        </w:rPr>
      </w:pP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bCs/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  <w:lang w:val="ru-RU"/>
        </w:rPr>
        <w:t>2</w:t>
      </w:r>
      <w:r w:rsidRPr="009E74EA">
        <w:rPr>
          <w:b/>
          <w:bCs/>
          <w:sz w:val="24"/>
          <w:vertAlign w:val="subscript"/>
        </w:rPr>
        <w:t xml:space="preserve"> </w:t>
      </w:r>
      <w:r w:rsidRPr="009E74EA">
        <w:rPr>
          <w:bCs/>
          <w:sz w:val="24"/>
        </w:rPr>
        <w:t>– се закръглява до втория знак след десетичната запетая.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sz w:val="24"/>
        </w:rPr>
      </w:pPr>
      <w:r w:rsidRPr="009E74EA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Pr="009E74EA">
        <w:rPr>
          <w:b/>
          <w:bCs/>
          <w:sz w:val="24"/>
        </w:rPr>
        <w:t>(Ккомпл.)</w:t>
      </w:r>
      <w:r w:rsidRPr="009E74EA">
        <w:rPr>
          <w:sz w:val="24"/>
        </w:rPr>
        <w:t xml:space="preserve"> за всяка оферта се образува като сума от точките по отделните показатели, а именно:</w:t>
      </w:r>
    </w:p>
    <w:p w:rsidR="007464CD" w:rsidRPr="00D05F8B" w:rsidRDefault="007464CD" w:rsidP="00033567">
      <w:pPr>
        <w:tabs>
          <w:tab w:val="left" w:pos="1080"/>
          <w:tab w:val="left" w:pos="4320"/>
        </w:tabs>
        <w:spacing w:line="360" w:lineRule="auto"/>
        <w:ind w:firstLine="709"/>
        <w:jc w:val="both"/>
        <w:rPr>
          <w:b/>
          <w:bCs/>
          <w:sz w:val="24"/>
          <w:lang w:val="en-US"/>
        </w:rPr>
      </w:pPr>
      <w:r w:rsidRPr="009E74EA">
        <w:rPr>
          <w:b/>
          <w:bCs/>
          <w:sz w:val="24"/>
        </w:rPr>
        <w:t>Ккомпл. = 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+ П</w:t>
      </w:r>
      <w:r w:rsidRPr="007625C9">
        <w:rPr>
          <w:b/>
          <w:bCs/>
          <w:sz w:val="24"/>
          <w:vertAlign w:val="subscript"/>
        </w:rPr>
        <w:t>2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09"/>
        <w:jc w:val="both"/>
        <w:rPr>
          <w:sz w:val="24"/>
        </w:rPr>
      </w:pPr>
    </w:p>
    <w:p w:rsidR="007464CD" w:rsidRPr="009E74EA" w:rsidRDefault="007464CD" w:rsidP="00033567">
      <w:pPr>
        <w:pStyle w:val="BodyTextIndent"/>
        <w:tabs>
          <w:tab w:val="left" w:pos="1080"/>
          <w:tab w:val="left" w:pos="4320"/>
        </w:tabs>
        <w:spacing w:line="360" w:lineRule="auto"/>
        <w:ind w:left="0" w:firstLine="709"/>
        <w:rPr>
          <w:b/>
          <w:i/>
        </w:rPr>
      </w:pPr>
      <w:r w:rsidRPr="009E74EA">
        <w:rPr>
          <w:b/>
          <w:i/>
        </w:rPr>
        <w:t>На първо място се класира офертата с най-голяма стойност на комплексната оценка (максимално възможната</w:t>
      </w:r>
      <w:r w:rsidRPr="009E74EA">
        <w:rPr>
          <w:b/>
          <w:bCs/>
          <w:i/>
        </w:rPr>
        <w:t xml:space="preserve"> Ккомпл. </w:t>
      </w:r>
      <w:r w:rsidRPr="009E74EA">
        <w:rPr>
          <w:b/>
          <w:i/>
        </w:rPr>
        <w:t>е 100 т.) Останалите оферти заемат места в класирането по низходящ ред на стойностите на комплексните оценки.</w:t>
      </w:r>
      <w:r w:rsidR="00D90DCF">
        <w:rPr>
          <w:b/>
          <w:i/>
        </w:rPr>
        <w:t xml:space="preserve"> Когато комплексните оценки на две или повече оферти са равни, се прилага чл. 58, ал. 2 </w:t>
      </w:r>
      <w:r w:rsidR="001F065D">
        <w:rPr>
          <w:b/>
          <w:i/>
        </w:rPr>
        <w:t xml:space="preserve">и ал. 3 </w:t>
      </w:r>
      <w:r w:rsidR="00D90DCF">
        <w:rPr>
          <w:b/>
          <w:i/>
        </w:rPr>
        <w:t>от Правилника за прилагане на Закона за обществените поръчки.</w:t>
      </w:r>
    </w:p>
    <w:sectPr w:rsidR="007464CD" w:rsidRPr="009E74EA" w:rsidSect="00627DFA">
      <w:footerReference w:type="even" r:id="rId6"/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429" w:rsidRDefault="00D62429">
      <w:r>
        <w:separator/>
      </w:r>
    </w:p>
  </w:endnote>
  <w:endnote w:type="continuationSeparator" w:id="0">
    <w:p w:rsidR="00D62429" w:rsidRDefault="00D6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2EF" w:rsidRDefault="007464CD" w:rsidP="004D78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62EF" w:rsidRDefault="00D62429" w:rsidP="00177BA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2EF" w:rsidRDefault="007464CD" w:rsidP="004D78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1E48">
      <w:rPr>
        <w:rStyle w:val="PageNumber"/>
        <w:noProof/>
      </w:rPr>
      <w:t>2</w:t>
    </w:r>
    <w:r>
      <w:rPr>
        <w:rStyle w:val="PageNumber"/>
      </w:rPr>
      <w:fldChar w:fldCharType="end"/>
    </w:r>
  </w:p>
  <w:p w:rsidR="008362EF" w:rsidRDefault="00D62429" w:rsidP="00177B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429" w:rsidRDefault="00D62429">
      <w:r>
        <w:separator/>
      </w:r>
    </w:p>
  </w:footnote>
  <w:footnote w:type="continuationSeparator" w:id="0">
    <w:p w:rsidR="00D62429" w:rsidRDefault="00D62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74"/>
    <w:rsid w:val="00033567"/>
    <w:rsid w:val="0004662F"/>
    <w:rsid w:val="00051008"/>
    <w:rsid w:val="001934EE"/>
    <w:rsid w:val="001F065D"/>
    <w:rsid w:val="003E1BAF"/>
    <w:rsid w:val="00480A1C"/>
    <w:rsid w:val="004C1E48"/>
    <w:rsid w:val="0055448C"/>
    <w:rsid w:val="006878B4"/>
    <w:rsid w:val="006B6650"/>
    <w:rsid w:val="00744774"/>
    <w:rsid w:val="007464CD"/>
    <w:rsid w:val="0084641D"/>
    <w:rsid w:val="00AE060D"/>
    <w:rsid w:val="00C45107"/>
    <w:rsid w:val="00CA0A72"/>
    <w:rsid w:val="00D62429"/>
    <w:rsid w:val="00D90DCF"/>
    <w:rsid w:val="00DD79E7"/>
    <w:rsid w:val="00F4522E"/>
    <w:rsid w:val="00F4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98A731-30BC-4262-8A87-B82952D0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7464CD"/>
  </w:style>
  <w:style w:type="paragraph" w:customStyle="1" w:styleId="3">
    <w:name w:val="Заглавие 3 ляво"/>
    <w:basedOn w:val="Normal"/>
    <w:next w:val="a"/>
    <w:rsid w:val="007464CD"/>
    <w:pPr>
      <w:spacing w:before="240" w:after="60"/>
    </w:pPr>
    <w:rPr>
      <w:b/>
      <w:sz w:val="24"/>
    </w:rPr>
  </w:style>
  <w:style w:type="paragraph" w:styleId="Footer">
    <w:name w:val="footer"/>
    <w:basedOn w:val="Header"/>
    <w:link w:val="FooterChar"/>
    <w:rsid w:val="007464CD"/>
    <w:pPr>
      <w:widowControl/>
      <w:tabs>
        <w:tab w:val="clear" w:pos="4536"/>
        <w:tab w:val="clear" w:pos="9072"/>
        <w:tab w:val="right" w:pos="10773"/>
      </w:tabs>
      <w:autoSpaceDE/>
      <w:autoSpaceDN/>
      <w:adjustRightInd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rsid w:val="007464CD"/>
    <w:rPr>
      <w:rFonts w:ascii="Times New Roman" w:eastAsia="Times New Roman" w:hAnsi="Times New Roman" w:cs="Times New Roman"/>
      <w:i/>
      <w:szCs w:val="20"/>
      <w:lang w:eastAsia="bg-BG"/>
    </w:rPr>
  </w:style>
  <w:style w:type="paragraph" w:styleId="BodyTextIndent">
    <w:name w:val="Body Text Indent"/>
    <w:basedOn w:val="Normal"/>
    <w:link w:val="BodyTextIndentChar"/>
    <w:rsid w:val="007464CD"/>
    <w:pPr>
      <w:widowControl/>
      <w:autoSpaceDE/>
      <w:autoSpaceDN/>
      <w:adjustRightInd/>
      <w:ind w:left="1440"/>
      <w:jc w:val="both"/>
    </w:pPr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64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464CD"/>
  </w:style>
  <w:style w:type="paragraph" w:styleId="Header">
    <w:name w:val="header"/>
    <w:basedOn w:val="Normal"/>
    <w:link w:val="HeaderChar"/>
    <w:uiPriority w:val="99"/>
    <w:semiHidden/>
    <w:unhideWhenUsed/>
    <w:rsid w:val="00746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4C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17</cp:revision>
  <dcterms:created xsi:type="dcterms:W3CDTF">2016-03-12T09:44:00Z</dcterms:created>
  <dcterms:modified xsi:type="dcterms:W3CDTF">2017-03-28T13:26:00Z</dcterms:modified>
</cp:coreProperties>
</file>